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54" w:rsidRDefault="00B7489C">
      <w:pPr>
        <w:spacing w:line="92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542290</wp:posOffset>
            </wp:positionH>
            <wp:positionV relativeFrom="page">
              <wp:posOffset>694055</wp:posOffset>
            </wp:positionV>
            <wp:extent cx="6657975" cy="163195"/>
            <wp:effectExtent l="0" t="0" r="9525" b="8255"/>
            <wp:wrapNone/>
            <wp:docPr id="1" name="Picture 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B7489C">
      <w:pPr>
        <w:ind w:right="940"/>
        <w:jc w:val="center"/>
        <w:rPr>
          <w:sz w:val="20"/>
          <w:szCs w:val="20"/>
        </w:rPr>
      </w:pPr>
      <w:bookmarkStart w:id="1" w:name="_GoBack"/>
      <w:bookmarkEnd w:id="1"/>
      <w:r>
        <w:rPr>
          <w:rFonts w:ascii="Arial Narrow" w:eastAsia="Arial Narrow" w:hAnsi="Arial Narrow" w:cs="Arial Narrow"/>
          <w:color w:val="0070C0"/>
          <w:sz w:val="36"/>
          <w:szCs w:val="36"/>
        </w:rPr>
        <w:t>University at Buffalo Department of Orthopaedics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-201930</wp:posOffset>
            </wp:positionV>
            <wp:extent cx="547370" cy="554990"/>
            <wp:effectExtent l="0" t="0" r="5080" b="0"/>
            <wp:wrapNone/>
            <wp:docPr id="2" name="Picture 2" descr="UB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37" w:lineRule="exact"/>
        <w:rPr>
          <w:sz w:val="24"/>
          <w:szCs w:val="24"/>
        </w:rPr>
      </w:pPr>
    </w:p>
    <w:p w:rsidR="00C42D54" w:rsidRDefault="00B7489C">
      <w:pPr>
        <w:ind w:right="92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>RESEARCH NEWSLETTER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-62230</wp:posOffset>
            </wp:positionH>
            <wp:positionV relativeFrom="paragraph">
              <wp:posOffset>44450</wp:posOffset>
            </wp:positionV>
            <wp:extent cx="6639560" cy="31750"/>
            <wp:effectExtent l="0" t="0" r="8890" b="6350"/>
            <wp:wrapNone/>
            <wp:docPr id="3" name="Picture 3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332" w:lineRule="exact"/>
        <w:rPr>
          <w:sz w:val="24"/>
          <w:szCs w:val="24"/>
        </w:rPr>
      </w:pPr>
    </w:p>
    <w:p w:rsidR="00C42D54" w:rsidRDefault="00B7489C">
      <w:pPr>
        <w:ind w:right="1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70C0"/>
          <w:sz w:val="20"/>
          <w:szCs w:val="20"/>
        </w:rPr>
        <w:t>Volume 5, December 2016</w:t>
      </w:r>
    </w:p>
    <w:p w:rsidR="00C42D54" w:rsidRDefault="00C42D54">
      <w:pPr>
        <w:spacing w:line="47" w:lineRule="exact"/>
        <w:rPr>
          <w:sz w:val="24"/>
          <w:szCs w:val="24"/>
        </w:rPr>
      </w:pPr>
    </w:p>
    <w:p w:rsidR="00C42D54" w:rsidRDefault="00B7489C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70C0"/>
          <w:sz w:val="16"/>
          <w:szCs w:val="16"/>
        </w:rPr>
        <w:t>June A. and Eugene R. Mindell, MD Professor and Chair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: Leslie J. Bisson, MD</w:t>
      </w:r>
    </w:p>
    <w:p w:rsidR="00C42D54" w:rsidRDefault="00C42D54">
      <w:pPr>
        <w:spacing w:line="56" w:lineRule="exact"/>
        <w:rPr>
          <w:sz w:val="24"/>
          <w:szCs w:val="24"/>
        </w:rPr>
      </w:pPr>
    </w:p>
    <w:p w:rsidR="00C42D54" w:rsidRDefault="00B7489C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70C0"/>
          <w:sz w:val="16"/>
          <w:szCs w:val="16"/>
        </w:rPr>
        <w:t>Director of Clinical Research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: John Leddy, MD</w:t>
      </w:r>
    </w:p>
    <w:p w:rsidR="00C42D54" w:rsidRDefault="00C42D54">
      <w:pPr>
        <w:spacing w:line="56" w:lineRule="exact"/>
        <w:rPr>
          <w:sz w:val="24"/>
          <w:szCs w:val="24"/>
        </w:rPr>
      </w:pPr>
    </w:p>
    <w:p w:rsidR="00C42D54" w:rsidRDefault="00B7489C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70C0"/>
          <w:sz w:val="16"/>
          <w:szCs w:val="16"/>
        </w:rPr>
        <w:t xml:space="preserve">Director, Kenneth A Krackow </w:t>
      </w:r>
      <w:r>
        <w:rPr>
          <w:rFonts w:ascii="Arial" w:eastAsia="Arial" w:hAnsi="Arial" w:cs="Arial"/>
          <w:b/>
          <w:bCs/>
          <w:i/>
          <w:iCs/>
          <w:color w:val="0070C0"/>
          <w:sz w:val="16"/>
          <w:szCs w:val="16"/>
        </w:rPr>
        <w:t>Orthopedic Research Lab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: Mark Ehrensberger, PhD</w:t>
      </w:r>
    </w:p>
    <w:p w:rsidR="00C42D54" w:rsidRDefault="00C42D54">
      <w:pPr>
        <w:spacing w:line="56" w:lineRule="exact"/>
        <w:rPr>
          <w:sz w:val="24"/>
          <w:szCs w:val="24"/>
        </w:rPr>
      </w:pPr>
    </w:p>
    <w:p w:rsidR="00C42D54" w:rsidRDefault="00B7489C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70C0"/>
          <w:sz w:val="16"/>
          <w:szCs w:val="16"/>
        </w:rPr>
        <w:t>Editors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: Melissa Kluczynski, MS; Sonja Pavlesen, MD, MS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-62230</wp:posOffset>
            </wp:positionH>
            <wp:positionV relativeFrom="paragraph">
              <wp:posOffset>58420</wp:posOffset>
            </wp:positionV>
            <wp:extent cx="6639560" cy="31750"/>
            <wp:effectExtent l="0" t="0" r="8890" b="6350"/>
            <wp:wrapNone/>
            <wp:docPr id="4" name="Picture 4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225" w:lineRule="exact"/>
        <w:rPr>
          <w:sz w:val="24"/>
          <w:szCs w:val="24"/>
        </w:rPr>
      </w:pPr>
    </w:p>
    <w:p w:rsidR="00C42D54" w:rsidRPr="00B7489C" w:rsidRDefault="00B7489C" w:rsidP="00B7489C">
      <w:pPr>
        <w:pStyle w:val="Heading1"/>
        <w:rPr>
          <w:b/>
          <w:sz w:val="20"/>
          <w:szCs w:val="20"/>
        </w:rPr>
      </w:pPr>
      <w:r w:rsidRPr="00B7489C">
        <w:rPr>
          <w:rFonts w:eastAsia="Arial"/>
          <w:b/>
        </w:rPr>
        <w:t>Introduction</w:t>
      </w:r>
    </w:p>
    <w:p w:rsidR="00C42D54" w:rsidRDefault="00C42D54">
      <w:pPr>
        <w:spacing w:line="117" w:lineRule="exact"/>
        <w:rPr>
          <w:sz w:val="24"/>
          <w:szCs w:val="24"/>
        </w:rPr>
      </w:pPr>
    </w:p>
    <w:p w:rsidR="00C42D54" w:rsidRDefault="00B7489C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 the close of 2016, we’d like to recognize the many achievements in</w:t>
      </w:r>
    </w:p>
    <w:p w:rsidR="00C42D54" w:rsidRDefault="00C42D54">
      <w:pPr>
        <w:spacing w:line="33" w:lineRule="exact"/>
        <w:rPr>
          <w:sz w:val="24"/>
          <w:szCs w:val="24"/>
        </w:rPr>
      </w:pPr>
    </w:p>
    <w:p w:rsidR="00C42D54" w:rsidRDefault="00B7489C">
      <w:pPr>
        <w:ind w:left="120" w:right="28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research at UBMD Orthopaedics and Sports Medicine. A list of </w:t>
      </w:r>
      <w:r>
        <w:rPr>
          <w:rFonts w:ascii="Arial" w:eastAsia="Arial" w:hAnsi="Arial" w:cs="Arial"/>
          <w:sz w:val="24"/>
          <w:szCs w:val="24"/>
        </w:rPr>
        <w:t>the numerous presentations and publications that have been produced this year is summarized in this newsletter. We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4443095</wp:posOffset>
            </wp:positionH>
            <wp:positionV relativeFrom="paragraph">
              <wp:posOffset>-188595</wp:posOffset>
            </wp:positionV>
            <wp:extent cx="2183130" cy="1478280"/>
            <wp:effectExtent l="0" t="0" r="7620" b="7620"/>
            <wp:wrapNone/>
            <wp:docPr id="5" name="Picture 5" descr="Ortho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B7489C">
      <w:pPr>
        <w:spacing w:line="244" w:lineRule="auto"/>
        <w:ind w:left="120" w:right="36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would especially like to thank the Chair of our department, Dr. Leslie Bisson, and the Research Directors, Drs. Mark Ehrensberger and John </w:t>
      </w:r>
      <w:r>
        <w:rPr>
          <w:rFonts w:ascii="Arial" w:eastAsia="Arial" w:hAnsi="Arial" w:cs="Arial"/>
          <w:sz w:val="24"/>
          <w:szCs w:val="24"/>
        </w:rPr>
        <w:t xml:space="preserve">Leddy for their continued support and leadership in research. </w:t>
      </w:r>
      <w:r>
        <w:rPr>
          <w:rFonts w:ascii="Arial" w:eastAsia="Arial" w:hAnsi="Arial" w:cs="Arial"/>
          <w:b/>
          <w:bCs/>
          <w:sz w:val="24"/>
          <w:szCs w:val="24"/>
        </w:rPr>
        <w:t>We would also like to thank all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 faculty, research staff, office staff, residents, and students who conducted and assisted with various on-going research projects throughout the year!</w:t>
      </w:r>
    </w:p>
    <w:p w:rsidR="00C42D54" w:rsidRDefault="00C42D54">
      <w:pPr>
        <w:spacing w:line="56" w:lineRule="exact"/>
        <w:rPr>
          <w:sz w:val="24"/>
          <w:szCs w:val="24"/>
        </w:rPr>
      </w:pPr>
    </w:p>
    <w:p w:rsidR="00C42D54" w:rsidRDefault="00B7489C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24"/>
          <w:szCs w:val="24"/>
        </w:rPr>
        <w:t>Mel</w:t>
      </w:r>
      <w:r>
        <w:rPr>
          <w:rFonts w:ascii="Arial" w:eastAsia="Arial" w:hAnsi="Arial" w:cs="Arial"/>
          <w:color w:val="0070C0"/>
          <w:sz w:val="24"/>
          <w:szCs w:val="24"/>
        </w:rPr>
        <w:t>issa Kluczynski, MS &amp; Sonja Pavlesen, MD, MS, Editors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142875</wp:posOffset>
            </wp:positionV>
            <wp:extent cx="4338955" cy="1654175"/>
            <wp:effectExtent l="0" t="0" r="4445" b="3175"/>
            <wp:wrapNone/>
            <wp:docPr id="6" name="Picture 6" descr="Happy holi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165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ectPr w:rsidR="00C42D54">
          <w:pgSz w:w="12240" w:h="15840"/>
          <w:pgMar w:top="1440" w:right="1200" w:bottom="547" w:left="940" w:header="0" w:footer="0" w:gutter="0"/>
          <w:cols w:space="720" w:equalWidth="0">
            <w:col w:w="10100"/>
          </w:cols>
        </w:sect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93" w:lineRule="exact"/>
        <w:rPr>
          <w:sz w:val="24"/>
          <w:szCs w:val="24"/>
        </w:rPr>
      </w:pPr>
    </w:p>
    <w:p w:rsidR="00C42D54" w:rsidRDefault="00B7489C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4DC0"/>
          <w:sz w:val="28"/>
          <w:szCs w:val="28"/>
        </w:rPr>
        <w:t>Happy Holidays to everyone and</w:t>
      </w:r>
    </w:p>
    <w:p w:rsidR="00C42D54" w:rsidRDefault="00C42D54">
      <w:pPr>
        <w:spacing w:line="120" w:lineRule="exact"/>
        <w:rPr>
          <w:sz w:val="24"/>
          <w:szCs w:val="24"/>
        </w:rPr>
      </w:pPr>
    </w:p>
    <w:p w:rsidR="00C42D54" w:rsidRDefault="00B7489C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4DC0"/>
          <w:sz w:val="28"/>
          <w:szCs w:val="28"/>
        </w:rPr>
        <w:t>best of luck in 2017!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310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0"/>
          <w:szCs w:val="20"/>
        </w:rPr>
        <w:t>Inside this issue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115570</wp:posOffset>
            </wp:positionV>
            <wp:extent cx="1435735" cy="4763"/>
            <wp:effectExtent l="0" t="0" r="0" b="0"/>
            <wp:wrapNone/>
            <wp:docPr id="7" name="Picture 7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359" w:lineRule="exact"/>
        <w:rPr>
          <w:sz w:val="24"/>
          <w:szCs w:val="24"/>
        </w:rPr>
      </w:pPr>
    </w:p>
    <w:p w:rsidR="00C42D54" w:rsidRDefault="00C42D54">
      <w:pPr>
        <w:sectPr w:rsidR="00C42D54">
          <w:type w:val="continuous"/>
          <w:pgSz w:w="12240" w:h="15840"/>
          <w:pgMar w:top="1440" w:right="1200" w:bottom="547" w:left="940" w:header="0" w:footer="0" w:gutter="0"/>
          <w:cols w:num="2" w:space="720" w:equalWidth="0">
            <w:col w:w="7120" w:space="720"/>
            <w:col w:w="2260"/>
          </w:cols>
        </w:sectPr>
      </w:pPr>
    </w:p>
    <w:p w:rsidR="00C42D54" w:rsidRDefault="00C42D54">
      <w:pPr>
        <w:spacing w:line="57" w:lineRule="exact"/>
        <w:rPr>
          <w:sz w:val="24"/>
          <w:szCs w:val="24"/>
        </w:rPr>
      </w:pPr>
    </w:p>
    <w:p w:rsidR="00C42D54" w:rsidRDefault="00B7489C">
      <w:pPr>
        <w:ind w:left="25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4DC0"/>
          <w:sz w:val="28"/>
          <w:szCs w:val="28"/>
        </w:rPr>
        <w:t>Research Team</w:t>
      </w: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11" w:lineRule="exact"/>
        <w:rPr>
          <w:sz w:val="24"/>
          <w:szCs w:val="24"/>
        </w:rPr>
      </w:pPr>
    </w:p>
    <w:p w:rsidR="00C42D54" w:rsidRDefault="00B7489C">
      <w:pPr>
        <w:ind w:lef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</w:rPr>
        <w:t>Recently Funded Study</w:t>
      </w:r>
    </w:p>
    <w:p w:rsidR="00C42D54" w:rsidRDefault="00C42D54">
      <w:pPr>
        <w:spacing w:line="112" w:lineRule="exact"/>
        <w:rPr>
          <w:sz w:val="24"/>
          <w:szCs w:val="24"/>
        </w:rPr>
      </w:pPr>
    </w:p>
    <w:p w:rsidR="00C42D54" w:rsidRDefault="00B7489C">
      <w:pPr>
        <w:spacing w:line="247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Study Title</w:t>
      </w:r>
      <w:r>
        <w:rPr>
          <w:rFonts w:ascii="Arial" w:eastAsia="Arial" w:hAnsi="Arial" w:cs="Arial"/>
          <w:sz w:val="24"/>
          <w:szCs w:val="24"/>
        </w:rPr>
        <w:t xml:space="preserve">: " A prospective, </w:t>
      </w:r>
      <w:r>
        <w:rPr>
          <w:rFonts w:ascii="Arial" w:eastAsia="Arial" w:hAnsi="Arial" w:cs="Arial"/>
          <w:sz w:val="24"/>
          <w:szCs w:val="24"/>
        </w:rPr>
        <w:t>single blinded, multi-center, random-ized, controlled, pivotal study to assess the safety and effectiveness of the InSpaceTM device for treatment of full thickness Massive Rota-tor Cuff Tears"</w:t>
      </w:r>
    </w:p>
    <w:p w:rsidR="00C42D54" w:rsidRDefault="00C42D54">
      <w:pPr>
        <w:spacing w:line="3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Investigator</w:t>
      </w:r>
      <w:r>
        <w:rPr>
          <w:rFonts w:ascii="Arial" w:eastAsia="Arial" w:hAnsi="Arial" w:cs="Arial"/>
          <w:sz w:val="24"/>
          <w:szCs w:val="24"/>
        </w:rPr>
        <w:t>: Dr. DiPaola</w:t>
      </w: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Sponsor</w:t>
      </w:r>
      <w:r>
        <w:rPr>
          <w:rFonts w:ascii="Arial" w:eastAsia="Arial" w:hAnsi="Arial" w:cs="Arial"/>
          <w:sz w:val="24"/>
          <w:szCs w:val="24"/>
        </w:rPr>
        <w:t>: Ortho-Space Ltd.</w:t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631825</wp:posOffset>
            </wp:positionV>
            <wp:extent cx="6557645" cy="228600"/>
            <wp:effectExtent l="0" t="0" r="0" b="0"/>
            <wp:wrapNone/>
            <wp:docPr id="8" name="Picture 8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B7489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Introd</w:t>
      </w:r>
      <w:r>
        <w:rPr>
          <w:rFonts w:ascii="Arial" w:eastAsia="Arial" w:hAnsi="Arial" w:cs="Arial"/>
          <w:color w:val="0070C0"/>
          <w:sz w:val="16"/>
          <w:szCs w:val="16"/>
        </w:rPr>
        <w:t>uction…………………….1</w:t>
      </w:r>
    </w:p>
    <w:p w:rsidR="00C42D54" w:rsidRDefault="00C42D54">
      <w:pPr>
        <w:spacing w:line="192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Recently Funded Study………1</w:t>
      </w:r>
    </w:p>
    <w:p w:rsidR="00C42D54" w:rsidRDefault="00C42D54">
      <w:pPr>
        <w:spacing w:line="212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Grant Deadlines.….…………..2</w:t>
      </w:r>
    </w:p>
    <w:p w:rsidR="00C42D54" w:rsidRDefault="00C42D54">
      <w:pPr>
        <w:spacing w:line="212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Recent Publications………...2-3</w:t>
      </w:r>
    </w:p>
    <w:p w:rsidR="00C42D54" w:rsidRDefault="00C42D54">
      <w:pPr>
        <w:spacing w:line="212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Recent Presentations………3-4</w:t>
      </w:r>
    </w:p>
    <w:p w:rsidR="00C42D54" w:rsidRDefault="00C42D54">
      <w:pPr>
        <w:spacing w:line="213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Call for Abstracts……………...5</w:t>
      </w:r>
    </w:p>
    <w:p w:rsidR="00C42D54" w:rsidRDefault="00C42D54">
      <w:pPr>
        <w:spacing w:line="212" w:lineRule="exact"/>
        <w:rPr>
          <w:sz w:val="24"/>
          <w:szCs w:val="24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color w:val="0070C0"/>
          <w:sz w:val="16"/>
          <w:szCs w:val="16"/>
        </w:rPr>
        <w:t>Epidemiology Corner………....5</w:t>
      </w:r>
    </w:p>
    <w:p w:rsidR="00C42D54" w:rsidRDefault="00C42D54">
      <w:pPr>
        <w:spacing w:line="1128" w:lineRule="exact"/>
        <w:rPr>
          <w:sz w:val="24"/>
          <w:szCs w:val="24"/>
        </w:rPr>
      </w:pPr>
    </w:p>
    <w:p w:rsidR="00C42D54" w:rsidRDefault="00C42D54">
      <w:pPr>
        <w:sectPr w:rsidR="00C42D54">
          <w:type w:val="continuous"/>
          <w:pgSz w:w="12240" w:h="15840"/>
          <w:pgMar w:top="1440" w:right="1200" w:bottom="547" w:left="940" w:header="0" w:footer="0" w:gutter="0"/>
          <w:cols w:num="2" w:space="720" w:equalWidth="0">
            <w:col w:w="7380" w:space="460"/>
            <w:col w:w="2260"/>
          </w:cols>
        </w:sect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00" w:lineRule="exact"/>
        <w:rPr>
          <w:sz w:val="24"/>
          <w:szCs w:val="24"/>
        </w:rPr>
      </w:pPr>
    </w:p>
    <w:p w:rsidR="00C42D54" w:rsidRDefault="00C42D54">
      <w:pPr>
        <w:spacing w:line="255" w:lineRule="exact"/>
        <w:rPr>
          <w:sz w:val="24"/>
          <w:szCs w:val="24"/>
        </w:rPr>
      </w:pPr>
    </w:p>
    <w:p w:rsidR="00C42D54" w:rsidRDefault="00B7489C">
      <w:pPr>
        <w:ind w:left="300"/>
        <w:rPr>
          <w:sz w:val="20"/>
          <w:szCs w:val="20"/>
        </w:rPr>
      </w:pPr>
      <w:r>
        <w:rPr>
          <w:rFonts w:ascii="Calibri" w:eastAsia="Calibri" w:hAnsi="Calibri" w:cs="Calibri"/>
          <w:color w:val="FFFFFF"/>
        </w:rPr>
        <w:t>1</w:t>
      </w:r>
    </w:p>
    <w:p w:rsidR="00C42D54" w:rsidRDefault="00C42D54">
      <w:pPr>
        <w:sectPr w:rsidR="00C42D54">
          <w:type w:val="continuous"/>
          <w:pgSz w:w="12240" w:h="15840"/>
          <w:pgMar w:top="1440" w:right="1200" w:bottom="547" w:left="940" w:header="0" w:footer="0" w:gutter="0"/>
          <w:cols w:space="720" w:equalWidth="0">
            <w:col w:w="10100"/>
          </w:cols>
        </w:sectPr>
      </w:pPr>
    </w:p>
    <w:p w:rsidR="00C42D54" w:rsidRDefault="00B7489C">
      <w:pPr>
        <w:ind w:right="-19"/>
        <w:jc w:val="center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b/>
          <w:bCs/>
          <w:noProof/>
          <w:color w:val="0070C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1170305</wp:posOffset>
            </wp:positionH>
            <wp:positionV relativeFrom="page">
              <wp:posOffset>460375</wp:posOffset>
            </wp:positionV>
            <wp:extent cx="5445125" cy="3947160"/>
            <wp:effectExtent l="0" t="0" r="3175" b="0"/>
            <wp:wrapNone/>
            <wp:docPr id="9" name="Picture 9" descr="upcoming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94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Upcoming Research </w:t>
      </w:r>
      <w:r>
        <w:rPr>
          <w:rFonts w:ascii="Arial" w:eastAsia="Arial" w:hAnsi="Arial" w:cs="Arial"/>
          <w:b/>
          <w:bCs/>
          <w:color w:val="0070C0"/>
          <w:sz w:val="28"/>
          <w:szCs w:val="28"/>
        </w:rPr>
        <w:t>Grant Deadlines</w:t>
      </w:r>
    </w:p>
    <w:p w:rsidR="00C42D54" w:rsidRDefault="00C42D54">
      <w:pPr>
        <w:spacing w:line="242" w:lineRule="exact"/>
        <w:rPr>
          <w:sz w:val="20"/>
          <w:szCs w:val="20"/>
        </w:rPr>
      </w:pPr>
    </w:p>
    <w:p w:rsidR="00C42D54" w:rsidRDefault="00B7489C">
      <w:pPr>
        <w:ind w:left="1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AOSSM/Sanofi Osteoarthri s Grant</w:t>
      </w:r>
    </w:p>
    <w:p w:rsidR="00C42D54" w:rsidRDefault="00C42D54">
      <w:pPr>
        <w:spacing w:line="9" w:lineRule="exact"/>
        <w:rPr>
          <w:sz w:val="20"/>
          <w:szCs w:val="20"/>
        </w:rPr>
      </w:pPr>
    </w:p>
    <w:p w:rsidR="00C42D54" w:rsidRDefault="00B7489C">
      <w:pPr>
        <w:numPr>
          <w:ilvl w:val="0"/>
          <w:numId w:val="1"/>
        </w:numPr>
        <w:tabs>
          <w:tab w:val="left" w:pos="1244"/>
        </w:tabs>
        <w:spacing w:line="252" w:lineRule="auto"/>
        <w:ind w:left="920" w:right="4380" w:firstLine="98"/>
        <w:rPr>
          <w:rFonts w:ascii="Calibri" w:eastAsia="Calibri" w:hAnsi="Calibri" w:cs="Calibri"/>
          <w:color w:val="0066FF"/>
          <w:sz w:val="19"/>
          <w:szCs w:val="19"/>
          <w:u w:val="single"/>
        </w:rPr>
      </w:pPr>
      <w:r>
        <w:rPr>
          <w:rFonts w:ascii="Calibri" w:eastAsia="Calibri" w:hAnsi="Calibri" w:cs="Calibri"/>
          <w:color w:val="0066FF"/>
          <w:sz w:val="19"/>
          <w:szCs w:val="19"/>
          <w:u w:val="single"/>
        </w:rPr>
        <w:t>p://www.sportsmed.org/aossmimis/Members/Research Osteoarthri s_Grant.aspx</w:t>
      </w:r>
    </w:p>
    <w:p w:rsidR="00C42D54" w:rsidRDefault="00B7489C">
      <w:pPr>
        <w:ind w:left="1020"/>
        <w:rPr>
          <w:rFonts w:ascii="Calibri" w:eastAsia="Calibri" w:hAnsi="Calibri" w:cs="Calibri"/>
          <w:color w:val="0066FF"/>
          <w:sz w:val="19"/>
          <w:szCs w:val="19"/>
          <w:u w:val="single"/>
        </w:rPr>
      </w:pPr>
      <w:r>
        <w:rPr>
          <w:rFonts w:ascii="Calibri" w:eastAsia="Calibri" w:hAnsi="Calibri" w:cs="Calibri"/>
          <w:sz w:val="20"/>
          <w:szCs w:val="20"/>
        </w:rPr>
        <w:t>Deadline: January 1, 2017</w:t>
      </w:r>
    </w:p>
    <w:p w:rsidR="00C42D54" w:rsidRDefault="00C42D54">
      <w:pPr>
        <w:spacing w:line="237" w:lineRule="exact"/>
        <w:rPr>
          <w:sz w:val="20"/>
          <w:szCs w:val="20"/>
        </w:rPr>
      </w:pPr>
    </w:p>
    <w:p w:rsidR="00C42D54" w:rsidRDefault="00B7489C">
      <w:pPr>
        <w:ind w:left="1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Arthri s Na onal Research Founda on</w:t>
      </w:r>
    </w:p>
    <w:p w:rsidR="00C42D54" w:rsidRDefault="00C42D54">
      <w:pPr>
        <w:spacing w:line="8" w:lineRule="exact"/>
        <w:rPr>
          <w:sz w:val="20"/>
          <w:szCs w:val="20"/>
        </w:rPr>
      </w:pPr>
    </w:p>
    <w:p w:rsidR="00C42D54" w:rsidRDefault="00B7489C">
      <w:pPr>
        <w:ind w:left="1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Arthri s and Aging Research Grant</w:t>
      </w:r>
    </w:p>
    <w:p w:rsidR="00C42D54" w:rsidRDefault="00B7489C">
      <w:pPr>
        <w:numPr>
          <w:ilvl w:val="0"/>
          <w:numId w:val="2"/>
        </w:numPr>
        <w:tabs>
          <w:tab w:val="left" w:pos="1252"/>
        </w:tabs>
        <w:spacing w:line="241" w:lineRule="auto"/>
        <w:ind w:left="1020" w:right="4280" w:hanging="2"/>
        <w:rPr>
          <w:rFonts w:ascii="Calibri" w:eastAsia="Calibri" w:hAnsi="Calibri" w:cs="Calibri"/>
          <w:color w:val="0066FF"/>
          <w:sz w:val="20"/>
          <w:szCs w:val="20"/>
          <w:u w:val="single"/>
        </w:rPr>
      </w:pPr>
      <w:r>
        <w:rPr>
          <w:rFonts w:ascii="Calibri" w:eastAsia="Calibri" w:hAnsi="Calibri" w:cs="Calibri"/>
          <w:color w:val="0066FF"/>
          <w:sz w:val="20"/>
          <w:szCs w:val="20"/>
          <w:u w:val="single"/>
        </w:rPr>
        <w:t xml:space="preserve">p://www.curearthri s.org/arthri s-aging-research-grant/ </w:t>
      </w:r>
      <w:r>
        <w:rPr>
          <w:rFonts w:ascii="Calibri" w:eastAsia="Calibri" w:hAnsi="Calibri" w:cs="Calibri"/>
          <w:color w:val="000000"/>
          <w:sz w:val="20"/>
          <w:szCs w:val="20"/>
        </w:rPr>
        <w:t>Deadline: January 13, 2017</w:t>
      </w:r>
    </w:p>
    <w:p w:rsidR="00C42D54" w:rsidRDefault="00C42D54">
      <w:pPr>
        <w:spacing w:line="233" w:lineRule="exact"/>
        <w:rPr>
          <w:sz w:val="20"/>
          <w:szCs w:val="20"/>
        </w:rPr>
      </w:pPr>
    </w:p>
    <w:p w:rsidR="00C42D54" w:rsidRDefault="00B7489C">
      <w:pPr>
        <w:spacing w:line="244" w:lineRule="auto"/>
        <w:ind w:left="1020" w:right="13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OREF/Stryker Robo c-Assisted Surgery for Primary Total Knee Arthroplasty Prospec ve Clinical Research Grant</w:t>
      </w:r>
    </w:p>
    <w:p w:rsidR="00C42D54" w:rsidRDefault="00C42D54">
      <w:pPr>
        <w:spacing w:line="2" w:lineRule="exact"/>
        <w:rPr>
          <w:sz w:val="20"/>
          <w:szCs w:val="20"/>
        </w:rPr>
      </w:pPr>
    </w:p>
    <w:p w:rsidR="00C42D54" w:rsidRDefault="00B7489C">
      <w:pPr>
        <w:numPr>
          <w:ilvl w:val="0"/>
          <w:numId w:val="3"/>
        </w:numPr>
        <w:tabs>
          <w:tab w:val="left" w:pos="1252"/>
        </w:tabs>
        <w:spacing w:line="239" w:lineRule="auto"/>
        <w:ind w:left="1020" w:right="254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p://www.oref.org/grants-and-awards/grant-programs/research-specific-grants Deadline: February 2, 2017</w:t>
      </w:r>
    </w:p>
    <w:p w:rsidR="00C42D54" w:rsidRDefault="00C42D54">
      <w:pPr>
        <w:spacing w:line="238" w:lineRule="exact"/>
        <w:rPr>
          <w:sz w:val="20"/>
          <w:szCs w:val="20"/>
        </w:rPr>
      </w:pPr>
    </w:p>
    <w:p w:rsidR="00C42D54" w:rsidRDefault="00B7489C">
      <w:pPr>
        <w:ind w:left="10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AMSSM-ACSM Clinical Research Grant Award ($20,000)</w:t>
      </w:r>
    </w:p>
    <w:p w:rsidR="00C42D54" w:rsidRDefault="00C42D54">
      <w:pPr>
        <w:spacing w:line="9" w:lineRule="exact"/>
        <w:rPr>
          <w:sz w:val="20"/>
          <w:szCs w:val="20"/>
        </w:rPr>
      </w:pPr>
    </w:p>
    <w:p w:rsidR="00C42D54" w:rsidRDefault="00B7489C">
      <w:pPr>
        <w:numPr>
          <w:ilvl w:val="0"/>
          <w:numId w:val="4"/>
        </w:numPr>
        <w:tabs>
          <w:tab w:val="left" w:pos="1252"/>
        </w:tabs>
        <w:spacing w:line="264" w:lineRule="auto"/>
        <w:ind w:left="1020" w:right="6020" w:hanging="2"/>
        <w:rPr>
          <w:rFonts w:ascii="Calibri" w:eastAsia="Calibri" w:hAnsi="Calibri" w:cs="Calibri"/>
          <w:color w:val="0066FF"/>
          <w:sz w:val="19"/>
          <w:szCs w:val="19"/>
          <w:u w:val="single"/>
        </w:rPr>
      </w:pPr>
      <w:r>
        <w:rPr>
          <w:rFonts w:ascii="Calibri" w:eastAsia="Calibri" w:hAnsi="Calibri" w:cs="Calibri"/>
          <w:color w:val="0066FF"/>
          <w:sz w:val="19"/>
          <w:szCs w:val="19"/>
          <w:u w:val="single"/>
        </w:rPr>
        <w:t xml:space="preserve">p://www.amssm.org/Research.html </w:t>
      </w:r>
      <w:r>
        <w:rPr>
          <w:rFonts w:ascii="Calibri" w:eastAsia="Calibri" w:hAnsi="Calibri" w:cs="Calibri"/>
          <w:color w:val="000000"/>
          <w:sz w:val="19"/>
          <w:szCs w:val="19"/>
        </w:rPr>
        <w:t>Deadline: February 10, 2017</w:t>
      </w:r>
    </w:p>
    <w:p w:rsidR="00C42D54" w:rsidRDefault="00C42D54">
      <w:pPr>
        <w:spacing w:line="213" w:lineRule="exact"/>
        <w:rPr>
          <w:sz w:val="20"/>
          <w:szCs w:val="20"/>
        </w:rPr>
      </w:pPr>
    </w:p>
    <w:p w:rsidR="00C42D54" w:rsidRDefault="00B7489C">
      <w:pPr>
        <w:ind w:left="1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North American Spine Society</w:t>
      </w:r>
    </w:p>
    <w:p w:rsidR="00C42D54" w:rsidRDefault="00C42D54">
      <w:pPr>
        <w:spacing w:line="9" w:lineRule="exact"/>
        <w:rPr>
          <w:sz w:val="20"/>
          <w:szCs w:val="20"/>
        </w:rPr>
      </w:pPr>
    </w:p>
    <w:p w:rsidR="00C42D54" w:rsidRDefault="00B7489C">
      <w:pPr>
        <w:numPr>
          <w:ilvl w:val="0"/>
          <w:numId w:val="5"/>
        </w:numPr>
        <w:tabs>
          <w:tab w:val="left" w:pos="1252"/>
        </w:tabs>
        <w:spacing w:line="264" w:lineRule="auto"/>
        <w:ind w:left="1020" w:right="1420" w:hanging="2"/>
        <w:rPr>
          <w:rFonts w:ascii="Calibri" w:eastAsia="Calibri" w:hAnsi="Calibri" w:cs="Calibri"/>
          <w:color w:val="0066FF"/>
          <w:sz w:val="19"/>
          <w:szCs w:val="19"/>
          <w:u w:val="single"/>
        </w:rPr>
      </w:pPr>
      <w:r>
        <w:rPr>
          <w:rFonts w:ascii="Calibri" w:eastAsia="Calibri" w:hAnsi="Calibri" w:cs="Calibri"/>
          <w:color w:val="0066FF"/>
          <w:sz w:val="19"/>
          <w:szCs w:val="19"/>
          <w:u w:val="single"/>
        </w:rPr>
        <w:t xml:space="preserve">ps://www.spine.org/Portals/0/Documents/ResearchClinicalCare/ResearchFundingApp17.pdf </w:t>
      </w:r>
      <w:r>
        <w:rPr>
          <w:rFonts w:ascii="Calibri" w:eastAsia="Calibri" w:hAnsi="Calibri" w:cs="Calibri"/>
          <w:color w:val="000000"/>
          <w:sz w:val="19"/>
          <w:szCs w:val="19"/>
        </w:rPr>
        <w:t>Deadlines: February 13, 2017 (le er of proposal), May 15, 2017 (by invita on only)</w:t>
      </w:r>
    </w:p>
    <w:p w:rsidR="00C42D54" w:rsidRDefault="00C42D54">
      <w:pPr>
        <w:spacing w:line="349" w:lineRule="exact"/>
        <w:rPr>
          <w:sz w:val="20"/>
          <w:szCs w:val="20"/>
        </w:rPr>
      </w:pPr>
    </w:p>
    <w:p w:rsidR="00C42D54" w:rsidRDefault="00B7489C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32"/>
          <w:szCs w:val="32"/>
        </w:rPr>
        <w:t>Recent Publications</w:t>
      </w:r>
    </w:p>
    <w:p w:rsidR="00C42D54" w:rsidRDefault="00C42D54">
      <w:pPr>
        <w:spacing w:line="94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00000"/>
        </w:rPr>
        <w:t>Congratula ons to all authors! A list of publica ons since the las</w:t>
      </w:r>
      <w:r>
        <w:rPr>
          <w:rFonts w:ascii="Calibri" w:eastAsia="Calibri" w:hAnsi="Calibri" w:cs="Calibri"/>
          <w:b/>
          <w:bCs/>
          <w:color w:val="C00000"/>
        </w:rPr>
        <w:t>t volume of the research newsle er can be found here and see the Appendix for a complete lis ng of 2016 publica ons.</w:t>
      </w:r>
    </w:p>
    <w:p w:rsidR="00C42D54" w:rsidRDefault="00C42D54">
      <w:pPr>
        <w:spacing w:line="138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Peer-Reviewed Ar cles:</w:t>
      </w:r>
    </w:p>
    <w:p w:rsidR="00C42D54" w:rsidRDefault="00C42D54">
      <w:pPr>
        <w:spacing w:line="162" w:lineRule="exact"/>
        <w:rPr>
          <w:sz w:val="20"/>
          <w:szCs w:val="20"/>
        </w:rPr>
      </w:pPr>
    </w:p>
    <w:p w:rsidR="00C42D54" w:rsidRDefault="00B7489C">
      <w:pPr>
        <w:spacing w:line="244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Bisson, L.B., Kluczynski, M.A., Wind, W.M., Fineberg, M.S., Rauh, M.A., Bernas, G.A., Marzo, J.M., Zhou, Z., Jiwei</w:t>
      </w:r>
      <w:r>
        <w:rPr>
          <w:rFonts w:ascii="Calibri" w:eastAsia="Calibri" w:hAnsi="Calibri" w:cs="Calibri"/>
        </w:rPr>
        <w:t xml:space="preserve">, Z. (in press). Pa ent Outcomes a er Debridement of Unstable Chondral Lesions During Par al Meniscectomy: The Chondral Lesions and Meniscus Procedures (ChAMP) Randomized Trial. </w:t>
      </w:r>
      <w:r>
        <w:rPr>
          <w:rFonts w:ascii="Calibri" w:eastAsia="Calibri" w:hAnsi="Calibri" w:cs="Calibri"/>
          <w:i/>
          <w:iCs/>
        </w:rPr>
        <w:t>Journal of Bone and Joint Surgery</w:t>
      </w:r>
      <w:r>
        <w:rPr>
          <w:rFonts w:ascii="Calibri" w:eastAsia="Calibri" w:hAnsi="Calibri" w:cs="Calibri"/>
        </w:rPr>
        <w:t>.</w:t>
      </w:r>
    </w:p>
    <w:p w:rsidR="00C42D54" w:rsidRDefault="00C42D54">
      <w:pPr>
        <w:spacing w:line="256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3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Brooks, E.K., Brooks, R.P., Ehrensberger, M.T. (in press). Eﬀects of Simulated Inflamma on on the Corrosion of 316L Stainless Steel. </w:t>
      </w:r>
      <w:r>
        <w:rPr>
          <w:rFonts w:ascii="Calibri" w:eastAsia="Calibri" w:hAnsi="Calibri" w:cs="Calibri"/>
          <w:i/>
          <w:iCs/>
        </w:rPr>
        <w:t>Materials Science and Engineering: C, Materials for Biological Applica ons</w:t>
      </w:r>
      <w:r>
        <w:rPr>
          <w:rFonts w:ascii="Calibri" w:eastAsia="Calibri" w:hAnsi="Calibri" w:cs="Calibri"/>
        </w:rPr>
        <w:t>.</w:t>
      </w:r>
    </w:p>
    <w:p w:rsidR="00C42D54" w:rsidRDefault="00C42D54">
      <w:pPr>
        <w:spacing w:line="139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220"/>
        <w:rPr>
          <w:sz w:val="20"/>
          <w:szCs w:val="20"/>
        </w:rPr>
      </w:pPr>
      <w:r>
        <w:rPr>
          <w:rFonts w:ascii="Calibri" w:eastAsia="Calibri" w:hAnsi="Calibri" w:cs="Calibri"/>
        </w:rPr>
        <w:t>Browning, W., Kluczynski, M.A., Marzo, J.M. (i</w:t>
      </w:r>
      <w:r>
        <w:rPr>
          <w:rFonts w:ascii="Calibri" w:eastAsia="Calibri" w:hAnsi="Calibri" w:cs="Calibri"/>
        </w:rPr>
        <w:t xml:space="preserve">n press). Suspensory versus aperture fixa on of hamstring tendon autogra ACL reconstruc on: a meta-analysis. </w:t>
      </w:r>
      <w:r>
        <w:rPr>
          <w:rFonts w:ascii="Calibri" w:eastAsia="Calibri" w:hAnsi="Calibri" w:cs="Calibri"/>
          <w:i/>
          <w:iCs/>
        </w:rPr>
        <w:t>American Journal of Sports Medicine</w:t>
      </w:r>
      <w:r>
        <w:rPr>
          <w:rFonts w:ascii="Calibri" w:eastAsia="Calibri" w:hAnsi="Calibri" w:cs="Calibri"/>
        </w:rPr>
        <w:t>.</w:t>
      </w:r>
    </w:p>
    <w:p w:rsidR="00C42D54" w:rsidRDefault="00C42D54">
      <w:pPr>
        <w:spacing w:line="139" w:lineRule="exact"/>
        <w:rPr>
          <w:sz w:val="20"/>
          <w:szCs w:val="20"/>
        </w:rPr>
      </w:pPr>
    </w:p>
    <w:p w:rsidR="00C42D54" w:rsidRDefault="00B7489C">
      <w:pPr>
        <w:spacing w:line="244" w:lineRule="auto"/>
        <w:ind w:right="100"/>
        <w:rPr>
          <w:sz w:val="20"/>
          <w:szCs w:val="20"/>
        </w:rPr>
      </w:pPr>
      <w:r>
        <w:rPr>
          <w:rFonts w:ascii="Calibri" w:eastAsia="Calibri" w:hAnsi="Calibri" w:cs="Calibri"/>
        </w:rPr>
        <w:t>Canty, M.K., Luke-Marshall, N.R., Campagnari, A.A., Ehrensberger, M.T. (in press). Cathodic voltage-controlle</w:t>
      </w:r>
      <w:r>
        <w:rPr>
          <w:rFonts w:ascii="Calibri" w:eastAsia="Calibri" w:hAnsi="Calibri" w:cs="Calibri"/>
        </w:rPr>
        <w:t>d electrical s mula on of tanium for preven on of methicillin-resistant Staphylococcus aureus and Acinetobacter</w:t>
      </w:r>
    </w:p>
    <w:p w:rsidR="00C42D54" w:rsidRDefault="00C42D54">
      <w:pPr>
        <w:spacing w:line="2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baumannii biofilm infec ons. </w:t>
      </w:r>
      <w:r>
        <w:rPr>
          <w:rFonts w:ascii="Calibri" w:eastAsia="Calibri" w:hAnsi="Calibri" w:cs="Calibri"/>
          <w:i/>
          <w:iCs/>
        </w:rPr>
        <w:t>Acta Biomaterialia</w:t>
      </w:r>
    </w:p>
    <w:p w:rsidR="00C42D54" w:rsidRDefault="00C42D54">
      <w:pPr>
        <w:spacing w:line="152" w:lineRule="exact"/>
        <w:rPr>
          <w:sz w:val="20"/>
          <w:szCs w:val="20"/>
        </w:rPr>
      </w:pPr>
    </w:p>
    <w:p w:rsidR="00C42D54" w:rsidRDefault="00B7489C">
      <w:pPr>
        <w:spacing w:line="244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Ciolko, A.A., Tobias, M.E., Ehrensberger, M.T. (2016). The Eﬀect of Fre ng Associated Poten al</w:t>
      </w:r>
      <w:r>
        <w:rPr>
          <w:rFonts w:ascii="Calibri" w:eastAsia="Calibri" w:hAnsi="Calibri" w:cs="Calibri"/>
        </w:rPr>
        <w:t xml:space="preserve"> Shi s on The Elec-trochemistry and In Vitro Biocompa bility of Titanium. </w:t>
      </w:r>
      <w:r>
        <w:rPr>
          <w:rFonts w:ascii="Calibri" w:eastAsia="Calibri" w:hAnsi="Calibri" w:cs="Calibri"/>
          <w:i/>
          <w:iCs/>
        </w:rPr>
        <w:t>Journal of Biomedical Materials Research, Part B.,</w:t>
      </w:r>
      <w:r>
        <w:rPr>
          <w:rFonts w:ascii="Calibri" w:eastAsia="Calibri" w:hAnsi="Calibri" w:cs="Calibri"/>
        </w:rPr>
        <w:t xml:space="preserve"> 104 (8):1591-1601</w:t>
      </w:r>
      <w:r>
        <w:rPr>
          <w:rFonts w:ascii="Calibri" w:eastAsia="Calibri" w:hAnsi="Calibri" w:cs="Calibri"/>
          <w:i/>
          <w:iCs/>
        </w:rPr>
        <w:t>.</w:t>
      </w:r>
    </w:p>
    <w:p w:rsidR="00C42D54" w:rsidRDefault="00C42D54">
      <w:pPr>
        <w:spacing w:line="146" w:lineRule="exact"/>
        <w:rPr>
          <w:sz w:val="20"/>
          <w:szCs w:val="20"/>
        </w:rPr>
      </w:pPr>
    </w:p>
    <w:p w:rsidR="00C42D54" w:rsidRDefault="00B7489C">
      <w:pPr>
        <w:spacing w:line="244" w:lineRule="auto"/>
        <w:ind w:right="1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Clausen, M., Pendergast, D.R., Willer, B., Leddy, JJ. (2016). Cerebral Blood Flow during Treadmill Exercise is </w:t>
      </w:r>
      <w:r>
        <w:rPr>
          <w:rFonts w:ascii="Calibri" w:eastAsia="Calibri" w:hAnsi="Calibri" w:cs="Calibri"/>
        </w:rPr>
        <w:t xml:space="preserve">a Marker of Physiological Post-Concussion Syndrome in Female Athletes. </w:t>
      </w:r>
      <w:r>
        <w:rPr>
          <w:rFonts w:ascii="Calibri" w:eastAsia="Calibri" w:hAnsi="Calibri" w:cs="Calibri"/>
          <w:i/>
          <w:iCs/>
        </w:rPr>
        <w:t>Journal of Head Trauma Rehabilita on</w:t>
      </w:r>
      <w:r>
        <w:rPr>
          <w:rFonts w:ascii="Calibri" w:eastAsia="Calibri" w:hAnsi="Calibri" w:cs="Calibri"/>
        </w:rPr>
        <w:t xml:space="preserve"> 31 (3):215-24.</w:t>
      </w:r>
    </w:p>
    <w:p w:rsidR="00C42D54" w:rsidRDefault="00C42D54">
      <w:pPr>
        <w:spacing w:line="256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140"/>
        <w:rPr>
          <w:sz w:val="20"/>
          <w:szCs w:val="20"/>
        </w:rPr>
      </w:pPr>
      <w:r>
        <w:rPr>
          <w:rFonts w:ascii="Calibri" w:eastAsia="Calibri" w:hAnsi="Calibri" w:cs="Calibri"/>
        </w:rPr>
        <w:t>Ellis, M.J., Leddy, J., and Willer, B. Mul -disciplinary management of athletes with post-concussion syndrome: an evolving pathophys</w:t>
      </w:r>
      <w:r>
        <w:rPr>
          <w:rFonts w:ascii="Calibri" w:eastAsia="Calibri" w:hAnsi="Calibri" w:cs="Calibri"/>
        </w:rPr>
        <w:t xml:space="preserve">iological approach. </w:t>
      </w:r>
      <w:r>
        <w:rPr>
          <w:rFonts w:ascii="Calibri" w:eastAsia="Calibri" w:hAnsi="Calibri" w:cs="Calibri"/>
          <w:i/>
          <w:iCs/>
        </w:rPr>
        <w:t>Fron ers in Neurology</w:t>
      </w:r>
      <w:r>
        <w:rPr>
          <w:rFonts w:ascii="Calibri" w:eastAsia="Calibri" w:hAnsi="Calibri" w:cs="Calibri"/>
        </w:rPr>
        <w:t xml:space="preserve">, 24 August 2016 | </w:t>
      </w:r>
      <w:r>
        <w:rPr>
          <w:rFonts w:ascii="Calibri" w:eastAsia="Calibri" w:hAnsi="Calibri" w:cs="Calibri"/>
          <w:color w:val="0066FF"/>
          <w:u w:val="single"/>
        </w:rPr>
        <w:t>h p://dx.doi.org/10.3389/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-163830</wp:posOffset>
            </wp:positionH>
            <wp:positionV relativeFrom="paragraph">
              <wp:posOffset>6985</wp:posOffset>
            </wp:positionV>
            <wp:extent cx="1828800" cy="228600"/>
            <wp:effectExtent l="0" t="0" r="0" b="0"/>
            <wp:wrapNone/>
            <wp:docPr id="10" name="Picture 10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ectPr w:rsidR="00C42D54">
          <w:pgSz w:w="12240" w:h="15840"/>
          <w:pgMar w:top="811" w:right="1020" w:bottom="161" w:left="1020" w:header="0" w:footer="0" w:gutter="0"/>
          <w:cols w:space="720" w:equalWidth="0">
            <w:col w:w="10200"/>
          </w:cols>
        </w:sectPr>
      </w:pPr>
    </w:p>
    <w:p w:rsidR="00C42D54" w:rsidRDefault="00C42D54">
      <w:pPr>
        <w:spacing w:line="73" w:lineRule="exact"/>
        <w:rPr>
          <w:sz w:val="20"/>
          <w:szCs w:val="20"/>
        </w:rPr>
      </w:pPr>
    </w:p>
    <w:p w:rsidR="00C42D54" w:rsidRDefault="00B7489C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t>2</w:t>
      </w:r>
    </w:p>
    <w:p w:rsidR="00C42D54" w:rsidRDefault="00C42D54">
      <w:pPr>
        <w:sectPr w:rsidR="00C42D54">
          <w:type w:val="continuous"/>
          <w:pgSz w:w="12240" w:h="15840"/>
          <w:pgMar w:top="811" w:right="1020" w:bottom="161" w:left="1020" w:header="0" w:footer="0" w:gutter="0"/>
          <w:cols w:space="720" w:equalWidth="0">
            <w:col w:w="10200"/>
          </w:cols>
        </w:sectPr>
      </w:pPr>
    </w:p>
    <w:p w:rsidR="00C42D54" w:rsidRDefault="00B7489C">
      <w:pPr>
        <w:ind w:left="288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b/>
          <w:bCs/>
          <w:color w:val="0070C0"/>
          <w:sz w:val="32"/>
          <w:szCs w:val="32"/>
        </w:rPr>
        <w:lastRenderedPageBreak/>
        <w:t>Recent Publications (continued)</w:t>
      </w:r>
    </w:p>
    <w:p w:rsidR="00C42D54" w:rsidRDefault="00C42D54">
      <w:pPr>
        <w:spacing w:line="90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Hinds, A., Jungquist, C.R., Leddy, J., Seemant, F., Baker, J., &amp; Willer, B. (in press). Sleep disturbance in pa ents with chronic concussive eﬀects. </w:t>
      </w:r>
      <w:r>
        <w:rPr>
          <w:rFonts w:ascii="Calibri" w:eastAsia="Calibri" w:hAnsi="Calibri" w:cs="Calibri"/>
          <w:i/>
          <w:iCs/>
        </w:rPr>
        <w:t>Concussion</w:t>
      </w:r>
      <w:r>
        <w:rPr>
          <w:rFonts w:ascii="Calibri" w:eastAsia="Calibri" w:hAnsi="Calibri" w:cs="Calibri"/>
        </w:rPr>
        <w:t>.</w:t>
      </w:r>
    </w:p>
    <w:p w:rsidR="00C42D54" w:rsidRDefault="00C42D54">
      <w:pPr>
        <w:spacing w:line="240" w:lineRule="exact"/>
        <w:rPr>
          <w:sz w:val="20"/>
          <w:szCs w:val="20"/>
        </w:rPr>
      </w:pPr>
    </w:p>
    <w:p w:rsidR="00C42D54" w:rsidRDefault="00B7489C">
      <w:pPr>
        <w:spacing w:line="256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Hinds, A., Leddy, J., Freitas, M., and Willer, B. Heart Rate in Response to Exer on a er Concu</w:t>
      </w:r>
      <w:r>
        <w:rPr>
          <w:rFonts w:ascii="Calibri" w:eastAsia="Calibri" w:hAnsi="Calibri" w:cs="Calibri"/>
        </w:rPr>
        <w:t xml:space="preserve">ssion. (2016). </w:t>
      </w:r>
      <w:r>
        <w:rPr>
          <w:rFonts w:ascii="Calibri" w:eastAsia="Calibri" w:hAnsi="Calibri" w:cs="Calibri"/>
          <w:i/>
          <w:iCs/>
        </w:rPr>
        <w:t>Journal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of Neurology and Neurophysiology</w:t>
      </w:r>
      <w:r>
        <w:rPr>
          <w:rFonts w:ascii="Calibri" w:eastAsia="Calibri" w:hAnsi="Calibri" w:cs="Calibri"/>
        </w:rPr>
        <w:t>. 7:4.</w:t>
      </w:r>
    </w:p>
    <w:p w:rsidR="00C42D54" w:rsidRDefault="00C42D54">
      <w:pPr>
        <w:spacing w:line="241" w:lineRule="exact"/>
        <w:rPr>
          <w:sz w:val="20"/>
          <w:szCs w:val="20"/>
        </w:rPr>
      </w:pPr>
    </w:p>
    <w:p w:rsidR="00C42D54" w:rsidRDefault="00B7489C">
      <w:pPr>
        <w:spacing w:line="244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</w:rPr>
        <w:t>Leddy, J., Hinds, A.L., Miecznikowski, J., Darling, S., Matuszak, J., Baker, J.G., Picano, J., and Willer, B. (in press). Safety and Prognos c U lity of Provoca ve Exercise Tes ng in Acutely Co</w:t>
      </w:r>
      <w:r>
        <w:rPr>
          <w:rFonts w:ascii="Calibri" w:eastAsia="Calibri" w:hAnsi="Calibri" w:cs="Calibri"/>
        </w:rPr>
        <w:t xml:space="preserve">ncussed Adolescents: A Randomized Tri-al. </w:t>
      </w:r>
      <w:r>
        <w:rPr>
          <w:rFonts w:ascii="Calibri" w:eastAsia="Calibri" w:hAnsi="Calibri" w:cs="Calibri"/>
          <w:i/>
          <w:iCs/>
        </w:rPr>
        <w:t>Clinical Journal of Sports Medicine.</w:t>
      </w:r>
    </w:p>
    <w:p w:rsidR="00C42D54" w:rsidRDefault="00C42D54">
      <w:pPr>
        <w:spacing w:line="246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Marzo, J.M. (in press). The value of weight-bearing “func onal” CT scans. </w:t>
      </w:r>
      <w:r>
        <w:rPr>
          <w:rFonts w:ascii="Calibri" w:eastAsia="Calibri" w:hAnsi="Calibri" w:cs="Calibri"/>
          <w:i/>
          <w:iCs/>
        </w:rPr>
        <w:t>AAOS Now</w:t>
      </w:r>
      <w:r>
        <w:rPr>
          <w:rFonts w:ascii="Calibri" w:eastAsia="Calibri" w:hAnsi="Calibri" w:cs="Calibri"/>
        </w:rPr>
        <w:t>.</w:t>
      </w:r>
    </w:p>
    <w:p w:rsidR="00C42D54" w:rsidRDefault="00C42D54">
      <w:pPr>
        <w:spacing w:line="279" w:lineRule="exact"/>
        <w:rPr>
          <w:sz w:val="20"/>
          <w:szCs w:val="20"/>
        </w:rPr>
      </w:pPr>
    </w:p>
    <w:p w:rsidR="00C42D54" w:rsidRDefault="00B7489C">
      <w:pPr>
        <w:spacing w:line="243" w:lineRule="auto"/>
        <w:ind w:right="3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Marzo, J.M., Kluczynski, M.A., No no, A., Bisson, L.J. (2016). Comparison of a novel weight bearing cone beam computed tomography (CT) scanner versus a conven onal CT scanner for measuring patellar instability. </w:t>
      </w:r>
      <w:r>
        <w:rPr>
          <w:rFonts w:ascii="Calibri" w:eastAsia="Calibri" w:hAnsi="Calibri" w:cs="Calibri"/>
          <w:i/>
          <w:iCs/>
        </w:rPr>
        <w:t>Ortho-paedic Journal of Sports Medicine</w:t>
      </w:r>
      <w:r>
        <w:rPr>
          <w:rFonts w:ascii="Calibri" w:eastAsia="Calibri" w:hAnsi="Calibri" w:cs="Calibri"/>
        </w:rPr>
        <w:t>. 4(12</w:t>
      </w:r>
      <w:r>
        <w:rPr>
          <w:rFonts w:ascii="Calibri" w:eastAsia="Calibri" w:hAnsi="Calibri" w:cs="Calibri"/>
        </w:rPr>
        <w:t>): DOI: 10.1177/2325967116673560.</w:t>
      </w:r>
    </w:p>
    <w:p w:rsidR="00C42D54" w:rsidRDefault="00C42D54">
      <w:pPr>
        <w:spacing w:line="258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280"/>
        <w:rPr>
          <w:sz w:val="20"/>
          <w:szCs w:val="20"/>
        </w:rPr>
      </w:pPr>
      <w:r>
        <w:rPr>
          <w:rFonts w:ascii="Calibri" w:eastAsia="Calibri" w:hAnsi="Calibri" w:cs="Calibri"/>
        </w:rPr>
        <w:t>Tokarz, E., Ablove, R. (September 2016). Wrist pain in primary caregivers of post-partum caregivers. Poster pre-sented at the American Society for Surgery of the Hand annual mee ng, Aus n, TX.</w:t>
      </w:r>
    </w:p>
    <w:p w:rsidR="00C42D54" w:rsidRDefault="00C42D54">
      <w:pPr>
        <w:spacing w:line="249" w:lineRule="exact"/>
        <w:rPr>
          <w:sz w:val="20"/>
          <w:szCs w:val="20"/>
        </w:rPr>
      </w:pPr>
    </w:p>
    <w:p w:rsidR="00C42D54" w:rsidRDefault="00B7489C">
      <w:pPr>
        <w:spacing w:line="249" w:lineRule="auto"/>
        <w:ind w:right="3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Wright, T.E., Boyle, K.K., </w:t>
      </w:r>
      <w:r>
        <w:rPr>
          <w:rFonts w:ascii="Calibri" w:eastAsia="Calibri" w:hAnsi="Calibri" w:cs="Calibri"/>
        </w:rPr>
        <w:t>Duquin, T.R., Crane, J.K. (2016). Propionibacterium acnes suscep bility and correla on with hemoly c phenotype. Infec ous Diseases: Research and Treatment, 9: 39-44.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36830</wp:posOffset>
            </wp:positionV>
            <wp:extent cx="6667500" cy="5463540"/>
            <wp:effectExtent l="0" t="0" r="0" b="3810"/>
            <wp:wrapNone/>
            <wp:docPr id="11" name="Picture 11" descr="recent presen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46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40" w:lineRule="exact"/>
        <w:rPr>
          <w:sz w:val="20"/>
          <w:szCs w:val="20"/>
        </w:rPr>
      </w:pPr>
    </w:p>
    <w:p w:rsidR="00C42D54" w:rsidRDefault="00B7489C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</w:rPr>
        <w:t>Recent Presentations</w:t>
      </w:r>
    </w:p>
    <w:p w:rsidR="00C42D54" w:rsidRDefault="00C42D54">
      <w:pPr>
        <w:spacing w:line="57" w:lineRule="exact"/>
        <w:rPr>
          <w:sz w:val="20"/>
          <w:szCs w:val="20"/>
        </w:rPr>
      </w:pPr>
    </w:p>
    <w:p w:rsidR="00C42D54" w:rsidRDefault="00B7489C">
      <w:pPr>
        <w:spacing w:line="237" w:lineRule="auto"/>
        <w:ind w:left="120" w:righ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00000"/>
        </w:rPr>
        <w:t xml:space="preserve">Congratula ons to all presenters! A list of presenta ons since </w:t>
      </w:r>
      <w:r>
        <w:rPr>
          <w:rFonts w:ascii="Calibri" w:eastAsia="Calibri" w:hAnsi="Calibri" w:cs="Calibri"/>
          <w:b/>
          <w:bCs/>
          <w:color w:val="C00000"/>
        </w:rPr>
        <w:t>the last volume of the research newsle er can be found here and see the Appendix for a complete lis ng of 2016 publica ons.</w:t>
      </w:r>
    </w:p>
    <w:p w:rsidR="00C42D54" w:rsidRDefault="00C42D54">
      <w:pPr>
        <w:spacing w:line="139" w:lineRule="exact"/>
        <w:rPr>
          <w:sz w:val="20"/>
          <w:szCs w:val="20"/>
        </w:rPr>
      </w:pPr>
    </w:p>
    <w:p w:rsidR="00C42D54" w:rsidRDefault="00B7489C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</w:rPr>
        <w:t>Posters:</w:t>
      </w:r>
    </w:p>
    <w:p w:rsidR="00C42D54" w:rsidRDefault="00C42D54">
      <w:pPr>
        <w:spacing w:line="54" w:lineRule="exact"/>
        <w:rPr>
          <w:sz w:val="20"/>
          <w:szCs w:val="20"/>
        </w:rPr>
      </w:pPr>
    </w:p>
    <w:p w:rsidR="00C42D54" w:rsidRDefault="00B7489C">
      <w:pPr>
        <w:spacing w:line="237" w:lineRule="auto"/>
        <w:ind w:left="120" w:right="60"/>
        <w:rPr>
          <w:sz w:val="20"/>
          <w:szCs w:val="20"/>
        </w:rPr>
      </w:pPr>
      <w:r>
        <w:rPr>
          <w:rFonts w:ascii="Calibri" w:eastAsia="Calibri" w:hAnsi="Calibri" w:cs="Calibri"/>
          <w:color w:val="1A1A1A"/>
        </w:rPr>
        <w:t xml:space="preserve">Bayers-Thering, M.T., MS, MBA, Brown, M.J., MD, Ma hews, J., MD, Phillips, M. J. P., MD (September 2016) </w:t>
      </w:r>
      <w:r>
        <w:rPr>
          <w:rFonts w:ascii="Calibri" w:eastAsia="Calibri" w:hAnsi="Calibri" w:cs="Calibri"/>
          <w:i/>
          <w:iCs/>
          <w:color w:val="1A1A1A"/>
        </w:rPr>
        <w:t>Low</w:t>
      </w:r>
      <w:r>
        <w:rPr>
          <w:rFonts w:ascii="Calibri" w:eastAsia="Calibri" w:hAnsi="Calibri" w:cs="Calibri"/>
          <w:color w:val="1A1A1A"/>
        </w:rPr>
        <w:t xml:space="preserve"> </w:t>
      </w:r>
      <w:r>
        <w:rPr>
          <w:rFonts w:ascii="Calibri" w:eastAsia="Calibri" w:hAnsi="Calibri" w:cs="Calibri"/>
          <w:i/>
          <w:iCs/>
          <w:color w:val="1A1A1A"/>
        </w:rPr>
        <w:t>Incidence of</w:t>
      </w:r>
      <w:r>
        <w:rPr>
          <w:rFonts w:ascii="Calibri" w:eastAsia="Calibri" w:hAnsi="Calibri" w:cs="Calibri"/>
          <w:i/>
          <w:iCs/>
          <w:color w:val="1A1A1A"/>
        </w:rPr>
        <w:t xml:space="preserve"> Postopera ve Complica ons with Navigated Total Knee Arthroplasty. </w:t>
      </w:r>
      <w:r>
        <w:rPr>
          <w:rFonts w:ascii="Calibri" w:eastAsia="Calibri" w:hAnsi="Calibri" w:cs="Calibri"/>
          <w:color w:val="1A1A1A"/>
        </w:rPr>
        <w:t>Poster presented at the Inter-</w:t>
      </w:r>
    </w:p>
    <w:p w:rsidR="00C42D54" w:rsidRDefault="00C42D54">
      <w:pPr>
        <w:spacing w:line="1" w:lineRule="exact"/>
        <w:rPr>
          <w:sz w:val="20"/>
          <w:szCs w:val="20"/>
        </w:rPr>
      </w:pPr>
    </w:p>
    <w:p w:rsidR="00C42D54" w:rsidRDefault="00B7489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color w:val="1A1A1A"/>
        </w:rPr>
        <w:t>na onal Society of Technology in Arthroplasty Annual Mee ng, Boston, MA.</w:t>
      </w:r>
    </w:p>
    <w:p w:rsidR="00C42D54" w:rsidRDefault="00C42D54">
      <w:pPr>
        <w:spacing w:line="257" w:lineRule="exact"/>
        <w:rPr>
          <w:sz w:val="20"/>
          <w:szCs w:val="20"/>
        </w:rPr>
      </w:pPr>
    </w:p>
    <w:p w:rsidR="00C42D54" w:rsidRDefault="00B7489C">
      <w:pPr>
        <w:spacing w:line="243" w:lineRule="auto"/>
        <w:ind w:left="120" w:right="40"/>
        <w:rPr>
          <w:sz w:val="20"/>
          <w:szCs w:val="20"/>
        </w:rPr>
      </w:pPr>
      <w:r>
        <w:rPr>
          <w:rFonts w:ascii="Calibri" w:eastAsia="Calibri" w:hAnsi="Calibri" w:cs="Calibri"/>
        </w:rPr>
        <w:t>Ehrensberger, M.T., Canty, M.K., Tobias, M.E., Ahn, R., Luke, N.R., Howard, C.S., W</w:t>
      </w:r>
      <w:r>
        <w:rPr>
          <w:rFonts w:ascii="Calibri" w:eastAsia="Calibri" w:hAnsi="Calibri" w:cs="Calibri"/>
        </w:rPr>
        <w:t xml:space="preserve">ild, L.M., Hansen, L.A., Campa-gnari, A.A. </w:t>
      </w:r>
      <w:r>
        <w:rPr>
          <w:rFonts w:ascii="Calibri" w:eastAsia="Calibri" w:hAnsi="Calibri" w:cs="Calibri"/>
          <w:i/>
          <w:iCs/>
        </w:rPr>
        <w:t>Cathodic Voltage Controlled Electrical S mula on for Preven on and Eradica on of Acinetobacter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baumannii Implant Associated Infec ons</w:t>
      </w:r>
      <w:r>
        <w:rPr>
          <w:rFonts w:ascii="Calibri" w:eastAsia="Calibri" w:hAnsi="Calibri" w:cs="Calibri"/>
        </w:rPr>
        <w:t xml:space="preserve">. Accepted for 2016 Interna onal State-of-the-Science Mee ng on Mini-mizing the </w:t>
      </w:r>
      <w:r>
        <w:rPr>
          <w:rFonts w:ascii="Calibri" w:eastAsia="Calibri" w:hAnsi="Calibri" w:cs="Calibri"/>
        </w:rPr>
        <w:t>Impact of Wound Infec ons Following Blast-Related Injuries. Poster presenta on</w:t>
      </w:r>
    </w:p>
    <w:p w:rsidR="00C42D54" w:rsidRDefault="00C42D54">
      <w:pPr>
        <w:spacing w:line="246" w:lineRule="exact"/>
        <w:rPr>
          <w:sz w:val="20"/>
          <w:szCs w:val="20"/>
        </w:rPr>
      </w:pPr>
    </w:p>
    <w:p w:rsidR="00C42D54" w:rsidRDefault="00B7489C">
      <w:pPr>
        <w:spacing w:line="258" w:lineRule="auto"/>
        <w:ind w:left="120" w:right="34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Ferraro, J., Ablove, R., Tue ng, J., Lee, K. </w:t>
      </w:r>
      <w:r>
        <w:rPr>
          <w:rFonts w:ascii="Calibri" w:eastAsia="Calibri" w:hAnsi="Calibri" w:cs="Calibri"/>
          <w:i/>
          <w:iCs/>
        </w:rPr>
        <w:t>Thumb to spinous process is a false metric for glenohumeral internal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rota on measurement</w:t>
      </w:r>
      <w:r>
        <w:rPr>
          <w:rFonts w:ascii="Calibri" w:eastAsia="Calibri" w:hAnsi="Calibri" w:cs="Calibri"/>
        </w:rPr>
        <w:t>. Clinical Orthopaedic Society annual mee n</w:t>
      </w:r>
      <w:r>
        <w:rPr>
          <w:rFonts w:ascii="Calibri" w:eastAsia="Calibri" w:hAnsi="Calibri" w:cs="Calibri"/>
        </w:rPr>
        <w:t>g, New Orleans, LA.</w:t>
      </w:r>
    </w:p>
    <w:p w:rsidR="00C42D54" w:rsidRDefault="00C42D54">
      <w:pPr>
        <w:spacing w:line="239" w:lineRule="exact"/>
        <w:rPr>
          <w:sz w:val="20"/>
          <w:szCs w:val="20"/>
        </w:rPr>
      </w:pPr>
    </w:p>
    <w:p w:rsidR="00C42D54" w:rsidRDefault="00B7489C">
      <w:pPr>
        <w:spacing w:line="256" w:lineRule="auto"/>
        <w:ind w:left="120" w:right="60"/>
        <w:rPr>
          <w:sz w:val="20"/>
          <w:szCs w:val="20"/>
        </w:rPr>
      </w:pPr>
      <w:r>
        <w:rPr>
          <w:rFonts w:ascii="Calibri" w:eastAsia="Calibri" w:hAnsi="Calibri" w:cs="Calibri"/>
          <w:color w:val="1A1A1A"/>
        </w:rPr>
        <w:t xml:space="preserve">Kakish, S., MD, Bayers-Thering, M.T., MS, MBA, Krackow, KA., MD, McGrath, BE., MD, Pavlesen, S., MD, MS, Phil-lips, M. J., MD (November 2016) </w:t>
      </w:r>
      <w:r>
        <w:rPr>
          <w:rFonts w:ascii="Calibri" w:eastAsia="Calibri" w:hAnsi="Calibri" w:cs="Calibri"/>
          <w:i/>
          <w:iCs/>
          <w:color w:val="1A1A1A"/>
        </w:rPr>
        <w:t xml:space="preserve">Genu Recurvatum Analysis in the Context of Computer Assisted Total Knee Ar-throplasty: A 14 –Year Retrospec ve Study. </w:t>
      </w:r>
      <w:r>
        <w:rPr>
          <w:rFonts w:ascii="Calibri" w:eastAsia="Calibri" w:hAnsi="Calibri" w:cs="Calibri"/>
          <w:color w:val="1A1A1A"/>
        </w:rPr>
        <w:t>Poster presented at the American Associa on of Hip and Knee Sur-</w:t>
      </w:r>
    </w:p>
    <w:p w:rsidR="00C42D54" w:rsidRDefault="00C42D54">
      <w:pPr>
        <w:spacing w:line="2" w:lineRule="exact"/>
        <w:rPr>
          <w:sz w:val="20"/>
          <w:szCs w:val="20"/>
        </w:rPr>
      </w:pPr>
    </w:p>
    <w:p w:rsidR="00C42D54" w:rsidRDefault="00B7489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color w:val="1A1A1A"/>
        </w:rPr>
        <w:t>geons Annual Mee ng, Dallas, TX.</w:t>
      </w:r>
    </w:p>
    <w:p w:rsidR="00C42D54" w:rsidRDefault="00C42D54">
      <w:pPr>
        <w:spacing w:line="169" w:lineRule="exact"/>
        <w:rPr>
          <w:sz w:val="20"/>
          <w:szCs w:val="20"/>
        </w:rPr>
      </w:pPr>
    </w:p>
    <w:p w:rsidR="00C42D54" w:rsidRDefault="00B7489C">
      <w:pPr>
        <w:spacing w:line="261" w:lineRule="auto"/>
        <w:ind w:left="240" w:right="60" w:hanging="122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Lesh, K., Baker, J., Hinds, A., Czuczman, N., Willer, B., and Leddy, J. (April 2016). </w:t>
      </w:r>
      <w:r>
        <w:rPr>
          <w:rFonts w:ascii="Calibri" w:eastAsia="Calibri" w:hAnsi="Calibri" w:cs="Calibri"/>
          <w:i/>
          <w:iCs/>
          <w:sz w:val="21"/>
          <w:szCs w:val="21"/>
        </w:rPr>
        <w:t>Comparison of Physical Examina-on Findings in Acute Sport Related Concussion and Among Normal Adolescents</w:t>
      </w:r>
      <w:r>
        <w:rPr>
          <w:rFonts w:ascii="Calibri" w:eastAsia="Calibri" w:hAnsi="Calibri" w:cs="Calibri"/>
          <w:sz w:val="21"/>
          <w:szCs w:val="21"/>
        </w:rPr>
        <w:t>. Poster presented at the Ameri-</w:t>
      </w:r>
    </w:p>
    <w:p w:rsidR="00C42D54" w:rsidRDefault="00B7489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can Medical Society for Sports M</w:t>
      </w:r>
      <w:r>
        <w:rPr>
          <w:rFonts w:ascii="Calibri" w:eastAsia="Calibri" w:hAnsi="Calibri" w:cs="Calibri"/>
        </w:rPr>
        <w:t>edicine annual mee ng, Dallas, TX.</w:t>
      </w:r>
    </w:p>
    <w:p w:rsidR="00C42D54" w:rsidRDefault="00C42D54">
      <w:pPr>
        <w:spacing w:line="249" w:lineRule="exact"/>
        <w:rPr>
          <w:sz w:val="20"/>
          <w:szCs w:val="20"/>
        </w:rPr>
      </w:pPr>
    </w:p>
    <w:p w:rsidR="00C42D54" w:rsidRDefault="00B7489C">
      <w:pPr>
        <w:spacing w:line="258" w:lineRule="auto"/>
        <w:ind w:left="120" w:right="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Lesh, K., Jain, R. and Leddy, J. (April 2016). </w:t>
      </w:r>
      <w:r>
        <w:rPr>
          <w:rFonts w:ascii="Calibri" w:eastAsia="Calibri" w:hAnsi="Calibri" w:cs="Calibri"/>
          <w:i/>
          <w:iCs/>
        </w:rPr>
        <w:t>A 31-year-old Male with Destruc ve Spondyloarthropathy.</w:t>
      </w:r>
      <w:r>
        <w:rPr>
          <w:rFonts w:ascii="Calibri" w:eastAsia="Calibri" w:hAnsi="Calibri" w:cs="Calibri"/>
        </w:rPr>
        <w:t xml:space="preserve"> Poster pre-sented at the American Medical Society for Sports Medicine annual mee ng, Dallas, TX.</w:t>
      </w:r>
    </w:p>
    <w:p w:rsidR="00C42D54" w:rsidRDefault="00C42D54">
      <w:pPr>
        <w:spacing w:line="227" w:lineRule="exact"/>
        <w:rPr>
          <w:sz w:val="20"/>
          <w:szCs w:val="20"/>
        </w:rPr>
      </w:pPr>
    </w:p>
    <w:p w:rsidR="00C42D54" w:rsidRDefault="00B7489C">
      <w:pPr>
        <w:spacing w:line="258" w:lineRule="auto"/>
        <w:ind w:left="120" w:right="600"/>
        <w:rPr>
          <w:sz w:val="20"/>
          <w:szCs w:val="20"/>
        </w:rPr>
      </w:pPr>
      <w:r>
        <w:rPr>
          <w:rFonts w:ascii="Calibri" w:eastAsia="Calibri" w:hAnsi="Calibri" w:cs="Calibri"/>
        </w:rPr>
        <w:t>Siddiqui, A., Darli</w:t>
      </w:r>
      <w:r>
        <w:rPr>
          <w:rFonts w:ascii="Calibri" w:eastAsia="Calibri" w:hAnsi="Calibri" w:cs="Calibri"/>
        </w:rPr>
        <w:t xml:space="preserve">ng, S. and Leddy, J. (April 2016). </w:t>
      </w:r>
      <w:r>
        <w:rPr>
          <w:rFonts w:ascii="Calibri" w:eastAsia="Calibri" w:hAnsi="Calibri" w:cs="Calibri"/>
          <w:i/>
          <w:iCs/>
        </w:rPr>
        <w:t>Hard Lumps for a So ball Player</w:t>
      </w:r>
      <w:r>
        <w:rPr>
          <w:rFonts w:ascii="Calibri" w:eastAsia="Calibri" w:hAnsi="Calibri" w:cs="Calibri"/>
        </w:rPr>
        <w:t>. Poster presented at the American Medical Society for Sports Medicine annual mee ng, Dallas, TX.</w:t>
      </w:r>
    </w:p>
    <w:p w:rsidR="00C42D54" w:rsidRDefault="00C42D54">
      <w:pPr>
        <w:spacing w:line="31" w:lineRule="exact"/>
        <w:rPr>
          <w:sz w:val="20"/>
          <w:szCs w:val="20"/>
        </w:rPr>
      </w:pPr>
    </w:p>
    <w:p w:rsidR="00C42D54" w:rsidRDefault="00B7489C">
      <w:pPr>
        <w:ind w:left="7760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t>3</w:t>
      </w:r>
    </w:p>
    <w:p w:rsidR="00C42D54" w:rsidRDefault="00C42D54">
      <w:pPr>
        <w:sectPr w:rsidR="00C42D54">
          <w:pgSz w:w="12240" w:h="15840"/>
          <w:pgMar w:top="160" w:right="1040" w:bottom="341" w:left="980" w:header="0" w:footer="0" w:gutter="0"/>
          <w:cols w:space="720" w:equalWidth="0">
            <w:col w:w="10220"/>
          </w:cols>
        </w:sectPr>
      </w:pPr>
    </w:p>
    <w:p w:rsidR="00C42D54" w:rsidRDefault="00B7489C">
      <w:pPr>
        <w:ind w:left="344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b/>
          <w:bCs/>
          <w:color w:val="0070C0"/>
          <w:sz w:val="24"/>
          <w:szCs w:val="24"/>
        </w:rPr>
        <w:lastRenderedPageBreak/>
        <w:t>Recent Presentations (continued)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-147955</wp:posOffset>
            </wp:positionV>
            <wp:extent cx="6666230" cy="8863330"/>
            <wp:effectExtent l="0" t="0" r="1270" b="0"/>
            <wp:wrapNone/>
            <wp:docPr id="12" name="Picture 12" descr="recent presentation continu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30" cy="886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70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0"/>
          <w:szCs w:val="20"/>
        </w:rPr>
        <w:t>Posters (continued):</w:t>
      </w:r>
    </w:p>
    <w:p w:rsidR="00C42D54" w:rsidRDefault="00C42D54">
      <w:pPr>
        <w:spacing w:line="40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Willer, B.S., Baker, J.G., Hinds, A., Miecznikowski, J.C., Czuczman, N., Lesh, K. and Leddy, J. (October 2016). </w:t>
      </w:r>
      <w:r>
        <w:rPr>
          <w:rFonts w:ascii="Calibri" w:eastAsia="Calibri" w:hAnsi="Calibri" w:cs="Calibri"/>
          <w:i/>
          <w:iCs/>
          <w:sz w:val="20"/>
          <w:szCs w:val="20"/>
        </w:rPr>
        <w:t>Physical Exam</w:t>
      </w:r>
    </w:p>
    <w:p w:rsidR="00C42D54" w:rsidRDefault="00B7489C">
      <w:pPr>
        <w:spacing w:line="241" w:lineRule="auto"/>
        <w:ind w:righ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elements that should be including in the diagnosis and prognosis of concussion in adolescents</w:t>
      </w:r>
      <w:r>
        <w:rPr>
          <w:rFonts w:ascii="Calibri" w:eastAsia="Calibri" w:hAnsi="Calibri" w:cs="Calibri"/>
          <w:sz w:val="20"/>
          <w:szCs w:val="20"/>
        </w:rPr>
        <w:t>. Poster presented at the Fi h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</w:t>
      </w:r>
      <w:r>
        <w:rPr>
          <w:rFonts w:ascii="Calibri" w:eastAsia="Calibri" w:hAnsi="Calibri" w:cs="Calibri"/>
          <w:sz w:val="20"/>
          <w:szCs w:val="20"/>
        </w:rPr>
        <w:t>a onal Consensus Conference on Concussion in Sport, Berlin, Germany.</w:t>
      </w:r>
    </w:p>
    <w:p w:rsidR="00C42D54" w:rsidRDefault="00C42D54">
      <w:pPr>
        <w:spacing w:line="236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8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Tokarz, E., Ablove, R. (September 2016). Wrist pain in primary caregivers of post-partum caregivers. Poster presented at the American Society for Surgery of the Hand annual mee ng, Aus n</w:t>
      </w:r>
      <w:r>
        <w:rPr>
          <w:rFonts w:ascii="Calibri" w:eastAsia="Calibri" w:hAnsi="Calibri" w:cs="Calibri"/>
          <w:sz w:val="20"/>
          <w:szCs w:val="20"/>
        </w:rPr>
        <w:t>, TX.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0"/>
          <w:szCs w:val="20"/>
        </w:rPr>
        <w:t>Podium Presentations:</w:t>
      </w:r>
    </w:p>
    <w:p w:rsidR="00C42D54" w:rsidRDefault="00C42D54">
      <w:pPr>
        <w:spacing w:line="46" w:lineRule="exact"/>
        <w:rPr>
          <w:sz w:val="20"/>
          <w:szCs w:val="20"/>
        </w:rPr>
      </w:pPr>
    </w:p>
    <w:p w:rsidR="00C42D54" w:rsidRDefault="00B7489C">
      <w:pPr>
        <w:spacing w:line="237" w:lineRule="auto"/>
        <w:ind w:right="1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Ablove, R., Zmich, Z., Dodge, N. (September 2016). La ssimus dorsi transfer for rotator cuﬀ insuﬃciency. Clinical Orthopae-dics Society annual mee ng, New Orleans, LA.</w:t>
      </w:r>
    </w:p>
    <w:p w:rsidR="00C42D54" w:rsidRDefault="00C42D54">
      <w:pPr>
        <w:spacing w:line="239" w:lineRule="exact"/>
        <w:rPr>
          <w:sz w:val="20"/>
          <w:szCs w:val="20"/>
        </w:rPr>
      </w:pPr>
    </w:p>
    <w:p w:rsidR="00C42D54" w:rsidRDefault="00B7489C">
      <w:pPr>
        <w:spacing w:line="245" w:lineRule="auto"/>
        <w:ind w:right="20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 JJ. “Exercise and Recovery in Concussion”. American</w:t>
      </w:r>
      <w:r>
        <w:rPr>
          <w:rFonts w:ascii="Calibri" w:eastAsia="Calibri" w:hAnsi="Calibri" w:cs="Calibri"/>
          <w:sz w:val="20"/>
          <w:szCs w:val="20"/>
        </w:rPr>
        <w:t xml:space="preserve"> Academy of Neurology Sports Concussion Conference. Chicago, IL. July 8-10, 2016.</w:t>
      </w:r>
    </w:p>
    <w:p w:rsidR="00C42D54" w:rsidRDefault="00C42D54">
      <w:pPr>
        <w:spacing w:line="233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Leddy, JJ. Expert Panel for the Fi h Interna onal Consensus Conference on Concussion in Sport. Berlin, Germany. Oct. 26-29,</w:t>
      </w:r>
    </w:p>
    <w:p w:rsidR="00C42D54" w:rsidRDefault="00C42D54">
      <w:pPr>
        <w:spacing w:line="7" w:lineRule="exact"/>
        <w:rPr>
          <w:sz w:val="20"/>
          <w:szCs w:val="20"/>
        </w:rPr>
      </w:pPr>
    </w:p>
    <w:p w:rsidR="00C42D54" w:rsidRDefault="00B7489C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2016. What tests and measures should be added to</w:t>
      </w:r>
      <w:r>
        <w:rPr>
          <w:rFonts w:ascii="Calibri" w:eastAsia="Calibri" w:hAnsi="Calibri" w:cs="Calibri"/>
          <w:sz w:val="20"/>
          <w:szCs w:val="20"/>
        </w:rPr>
        <w:t xml:space="preserve"> the SCAT3 and related tests to improve their reliability, sensi vity and/or specificity in sideline concussion diagnosis?</w:t>
      </w:r>
    </w:p>
    <w:p w:rsidR="00C42D54" w:rsidRDefault="00C42D54">
      <w:pPr>
        <w:spacing w:line="240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Leddy, JJ. Expert Panel for the Fi h Interna onal Consensus Conference on Concussion in Sport. Berlin, Germany. Oct. 26-29, 2016. Wh</w:t>
      </w:r>
      <w:r>
        <w:rPr>
          <w:rFonts w:ascii="Calibri" w:eastAsia="Calibri" w:hAnsi="Calibri" w:cs="Calibri"/>
          <w:sz w:val="20"/>
          <w:szCs w:val="20"/>
        </w:rPr>
        <w:t>at is the evidence for and eﬃcacy of specific treatment interven ons?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Leddy, JJ. Expert Panel for the Fi h Interna onal Consensus Conference on Concussion in Sport. Berlin, Germany. Oct. 26-29, 2016. What is the me course of physiological recovery a er sp</w:t>
      </w:r>
      <w:r>
        <w:rPr>
          <w:rFonts w:ascii="Calibri" w:eastAsia="Calibri" w:hAnsi="Calibri" w:cs="Calibri"/>
          <w:sz w:val="20"/>
          <w:szCs w:val="20"/>
        </w:rPr>
        <w:t>orts concussion?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Leddy, JJ. Expert Panel for the Fi h Interna onal Consensus Conference on Concussion in Sport. Berlin, Germany. Oct. 26-29, 2016. What is the best approach to inves ga on and treatment of persistent post-concussive symptoms?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Leddy JJ and</w:t>
      </w:r>
      <w:r>
        <w:rPr>
          <w:rFonts w:ascii="Calibri" w:eastAsia="Calibri" w:hAnsi="Calibri" w:cs="Calibri"/>
          <w:sz w:val="20"/>
          <w:szCs w:val="20"/>
        </w:rPr>
        <w:t xml:space="preserve"> Putukian M. “Collegiate Team Medical Care”. American Academy of Neurology Sports Concussion Conference.</w:t>
      </w:r>
    </w:p>
    <w:p w:rsidR="00C42D54" w:rsidRDefault="00C42D54">
      <w:pPr>
        <w:spacing w:line="7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Chicago, IL. July 8-10, 2016.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0"/>
          <w:szCs w:val="20"/>
        </w:rPr>
        <w:t>Invited Talks:</w:t>
      </w:r>
    </w:p>
    <w:p w:rsidR="00C42D54" w:rsidRDefault="00C42D54">
      <w:pPr>
        <w:spacing w:line="46" w:lineRule="exact"/>
        <w:rPr>
          <w:sz w:val="20"/>
          <w:szCs w:val="20"/>
        </w:rPr>
      </w:pPr>
    </w:p>
    <w:p w:rsidR="00C42D54" w:rsidRDefault="00B7489C">
      <w:pPr>
        <w:spacing w:line="219" w:lineRule="auto"/>
        <w:ind w:right="1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Ablove, R. Elbow arthroplasty: history and recent innova ons. 16</w:t>
      </w:r>
      <w:r>
        <w:rPr>
          <w:rFonts w:ascii="Calibri" w:eastAsia="Calibri" w:hAnsi="Calibri" w:cs="Calibri"/>
          <w:sz w:val="25"/>
          <w:szCs w:val="25"/>
          <w:vertAlign w:val="superscript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 Annual New Technology in Upper Extre</w:t>
      </w:r>
      <w:r>
        <w:rPr>
          <w:rFonts w:ascii="Calibri" w:eastAsia="Calibri" w:hAnsi="Calibri" w:cs="Calibri"/>
          <w:sz w:val="20"/>
          <w:szCs w:val="20"/>
        </w:rPr>
        <w:t>mity Surgery: The Cu ng Edge with Advancing Transla onal Research. Castele Learning Center, Lutheran Hospital, a Cleveland Clinic Hospital, June 2016.</w:t>
      </w:r>
    </w:p>
    <w:p w:rsidR="00C42D54" w:rsidRDefault="00C42D54">
      <w:pPr>
        <w:spacing w:line="239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20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Ablove, R. Management of thumb metacarpophalangeal instability, Instruc onal Course Lecture, American So</w:t>
      </w:r>
      <w:r>
        <w:rPr>
          <w:rFonts w:ascii="Calibri" w:eastAsia="Calibri" w:hAnsi="Calibri" w:cs="Calibri"/>
          <w:sz w:val="20"/>
          <w:szCs w:val="20"/>
        </w:rPr>
        <w:t>ciety for Sur-gery of the Hand annual mee ng, Aus n, TX, September 2016.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Ablove, R. Reconstruc on of complex post-trauma c elbow instability, Wisconsin Orthopedic Society, October 2016.</w:t>
      </w:r>
    </w:p>
    <w:p w:rsidR="00C42D54" w:rsidRDefault="00C42D54">
      <w:pPr>
        <w:spacing w:line="243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Ehrensberger, M.T. Cathodic Voltage-Controlled Electrical S mula on </w:t>
      </w:r>
      <w:r>
        <w:rPr>
          <w:rFonts w:ascii="Calibri" w:eastAsia="Calibri" w:hAnsi="Calibri" w:cs="Calibri"/>
          <w:sz w:val="20"/>
          <w:szCs w:val="20"/>
        </w:rPr>
        <w:t>as Treatment for Orthopaedic Implant Associated Bio-film Infec ons, U.S. Naval Research Laboratory (9/2016).</w:t>
      </w:r>
    </w:p>
    <w:p w:rsidR="00C42D54" w:rsidRDefault="00C42D54">
      <w:pPr>
        <w:spacing w:line="232" w:lineRule="exact"/>
        <w:rPr>
          <w:sz w:val="20"/>
          <w:szCs w:val="20"/>
        </w:rPr>
      </w:pPr>
    </w:p>
    <w:p w:rsidR="00C42D54" w:rsidRDefault="00B7489C">
      <w:pPr>
        <w:spacing w:line="245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Ehrensberger, M.T. Cathodic Voltage-Controlled Electrical S mula on as Treatment for Orthopaedic Implant Associated Bio-film Infec ons, 2016 Techn</w:t>
      </w:r>
      <w:r>
        <w:rPr>
          <w:rFonts w:ascii="Calibri" w:eastAsia="Calibri" w:hAnsi="Calibri" w:cs="Calibri"/>
          <w:sz w:val="20"/>
          <w:szCs w:val="20"/>
        </w:rPr>
        <w:t>ology Innova ons for Physicians and Surgeons Conference (10/2016).</w:t>
      </w:r>
    </w:p>
    <w:p w:rsidR="00C42D54" w:rsidRDefault="00C42D54">
      <w:pPr>
        <w:spacing w:line="234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Ehrensberger, M.T. Building a Successful Orthopaedic Research Program, West Virginia University-Department of Orthopae-dics Resident Conference (12/2016).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spacing w:line="247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Ehrensberger, M.T. Cathodic </w:t>
      </w:r>
      <w:r>
        <w:rPr>
          <w:rFonts w:ascii="Calibri" w:eastAsia="Calibri" w:hAnsi="Calibri" w:cs="Calibri"/>
          <w:sz w:val="20"/>
          <w:szCs w:val="20"/>
        </w:rPr>
        <w:t>Voltage-Controlled Electrical S mula on as Treatment for Orthopaedic Implant Associated Bio-film Infec ons, West Virginia Clinical and Transla onal Science Ins tute (12/2016).</w:t>
      </w:r>
    </w:p>
    <w:p w:rsidR="00C42D54" w:rsidRDefault="00C42D54">
      <w:pPr>
        <w:spacing w:line="229" w:lineRule="exact"/>
        <w:rPr>
          <w:sz w:val="20"/>
          <w:szCs w:val="20"/>
        </w:rPr>
      </w:pPr>
    </w:p>
    <w:p w:rsidR="00C42D54" w:rsidRDefault="00B7489C">
      <w:pPr>
        <w:spacing w:line="264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Leddy JJ. “Neuro-medical Causes of Persistent Post-Concussive Symptoms: how to </w:t>
      </w:r>
      <w:r>
        <w:rPr>
          <w:rFonts w:ascii="Calibri" w:eastAsia="Calibri" w:hAnsi="Calibri" w:cs="Calibri"/>
          <w:sz w:val="20"/>
          <w:szCs w:val="20"/>
        </w:rPr>
        <w:t>assess and intervene”. American Congress of Rehabilita on Medicine Annual Mee ng. November 3, 2016. Chicago, IL.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-88265</wp:posOffset>
            </wp:positionH>
            <wp:positionV relativeFrom="paragraph">
              <wp:posOffset>78105</wp:posOffset>
            </wp:positionV>
            <wp:extent cx="1828800" cy="228600"/>
            <wp:effectExtent l="0" t="0" r="0" b="0"/>
            <wp:wrapNone/>
            <wp:docPr id="13" name="Picture 13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ectPr w:rsidR="00C42D54">
          <w:pgSz w:w="12240" w:h="15840"/>
          <w:pgMar w:top="675" w:right="1180" w:bottom="245" w:left="920" w:header="0" w:footer="0" w:gutter="0"/>
          <w:cols w:space="720" w:equalWidth="0">
            <w:col w:w="10140"/>
          </w:cols>
        </w:sectPr>
      </w:pPr>
    </w:p>
    <w:p w:rsidR="00C42D54" w:rsidRDefault="00C42D54">
      <w:pPr>
        <w:spacing w:line="184" w:lineRule="exact"/>
        <w:rPr>
          <w:sz w:val="20"/>
          <w:szCs w:val="20"/>
        </w:rPr>
      </w:pPr>
    </w:p>
    <w:p w:rsidR="00C42D54" w:rsidRDefault="00B7489C">
      <w:pPr>
        <w:ind w:left="140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z w:val="23"/>
          <w:szCs w:val="23"/>
        </w:rPr>
        <w:t>4</w:t>
      </w:r>
    </w:p>
    <w:p w:rsidR="00C42D54" w:rsidRDefault="00C42D54">
      <w:pPr>
        <w:sectPr w:rsidR="00C42D54">
          <w:type w:val="continuous"/>
          <w:pgSz w:w="12240" w:h="15840"/>
          <w:pgMar w:top="675" w:right="1180" w:bottom="245" w:left="920" w:header="0" w:footer="0" w:gutter="0"/>
          <w:cols w:space="720" w:equalWidth="0">
            <w:col w:w="10140"/>
          </w:cols>
        </w:sectPr>
      </w:pPr>
    </w:p>
    <w:p w:rsidR="00C42D54" w:rsidRDefault="00B7489C">
      <w:pPr>
        <w:ind w:left="1560"/>
        <w:jc w:val="center"/>
        <w:rPr>
          <w:sz w:val="20"/>
          <w:szCs w:val="20"/>
        </w:rPr>
      </w:pPr>
      <w:bookmarkStart w:id="5" w:name="page5"/>
      <w:bookmarkEnd w:id="5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1478280</wp:posOffset>
            </wp:positionH>
            <wp:positionV relativeFrom="page">
              <wp:posOffset>379730</wp:posOffset>
            </wp:positionV>
            <wp:extent cx="4721225" cy="1438910"/>
            <wp:effectExtent l="0" t="0" r="3175" b="8890"/>
            <wp:wrapNone/>
            <wp:docPr id="14" name="Picture 14" descr="call for abstr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Call for Abstracts</w:t>
      </w:r>
    </w:p>
    <w:p w:rsidR="00C42D54" w:rsidRDefault="00C42D54">
      <w:pPr>
        <w:spacing w:line="35" w:lineRule="exact"/>
        <w:rPr>
          <w:sz w:val="20"/>
          <w:szCs w:val="20"/>
        </w:rPr>
      </w:pPr>
    </w:p>
    <w:p w:rsidR="00C42D54" w:rsidRDefault="00B7489C">
      <w:pPr>
        <w:ind w:left="2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European Society of Sports Traumatology, Knee Surgery and Ar-</w:t>
      </w:r>
    </w:p>
    <w:p w:rsidR="00C42D54" w:rsidRDefault="00C42D54">
      <w:pPr>
        <w:spacing w:line="27" w:lineRule="exact"/>
        <w:rPr>
          <w:sz w:val="20"/>
          <w:szCs w:val="20"/>
        </w:rPr>
      </w:pPr>
    </w:p>
    <w:p w:rsidR="00C42D54" w:rsidRDefault="00B7489C">
      <w:pPr>
        <w:ind w:left="2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throscopy </w:t>
      </w:r>
      <w:r>
        <w:rPr>
          <w:rFonts w:ascii="Calibri" w:eastAsia="Calibri" w:hAnsi="Calibri" w:cs="Calibri"/>
          <w:b/>
          <w:bCs/>
        </w:rPr>
        <w:t>(ESSKA) 2018 Congress in Glasgow, UK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-60325</wp:posOffset>
            </wp:positionH>
            <wp:positionV relativeFrom="paragraph">
              <wp:posOffset>596900</wp:posOffset>
            </wp:positionV>
            <wp:extent cx="6762115" cy="3142615"/>
            <wp:effectExtent l="0" t="0" r="635" b="635"/>
            <wp:wrapNone/>
            <wp:docPr id="15" name="Picture 15" descr="Epideriology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314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368" w:lineRule="exact"/>
        <w:rPr>
          <w:sz w:val="20"/>
          <w:szCs w:val="20"/>
        </w:rPr>
      </w:pPr>
    </w:p>
    <w:p w:rsidR="00C42D54" w:rsidRDefault="00B7489C">
      <w:pPr>
        <w:ind w:right="-1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Epidemiology Corner: Sta s cal Significance?</w:t>
      </w:r>
    </w:p>
    <w:p w:rsidR="00C42D54" w:rsidRDefault="00C42D54">
      <w:pPr>
        <w:spacing w:line="330" w:lineRule="exact"/>
        <w:rPr>
          <w:sz w:val="20"/>
          <w:szCs w:val="20"/>
        </w:rPr>
      </w:pPr>
    </w:p>
    <w:p w:rsidR="00C42D54" w:rsidRDefault="00B7489C">
      <w:pPr>
        <w:spacing w:line="259" w:lineRule="auto"/>
        <w:ind w:left="280" w:right="3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The </w:t>
      </w:r>
      <w:r>
        <w:rPr>
          <w:rFonts w:ascii="Calibri" w:eastAsia="Calibri" w:hAnsi="Calibri" w:cs="Calibri"/>
          <w:b/>
          <w:bCs/>
          <w:i/>
          <w:iCs/>
        </w:rPr>
        <w:t>P</w:t>
      </w:r>
      <w:r>
        <w:rPr>
          <w:rFonts w:ascii="Calibri" w:eastAsia="Calibri" w:hAnsi="Calibri" w:cs="Calibri"/>
          <w:b/>
          <w:bCs/>
        </w:rPr>
        <w:t xml:space="preserve"> value </w:t>
      </w:r>
      <w:r>
        <w:rPr>
          <w:rFonts w:ascii="Calibri" w:eastAsia="Calibri" w:hAnsi="Calibri" w:cs="Calibri"/>
        </w:rPr>
        <w:t>(probability value, observer significance value) is the probability of obtaining a result equal to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or “more extreme” than what was actually observed, </w:t>
      </w:r>
      <w:r>
        <w:rPr>
          <w:rFonts w:ascii="Calibri" w:eastAsia="Calibri" w:hAnsi="Calibri" w:cs="Calibri"/>
        </w:rPr>
        <w:t>when the null hypothesis is true. In most health sci-</w:t>
      </w:r>
    </w:p>
    <w:p w:rsidR="00C42D54" w:rsidRDefault="00C42D54">
      <w:pPr>
        <w:spacing w:line="1" w:lineRule="exact"/>
        <w:rPr>
          <w:sz w:val="20"/>
          <w:szCs w:val="20"/>
        </w:rPr>
      </w:pPr>
    </w:p>
    <w:p w:rsidR="00C42D54" w:rsidRDefault="00B7489C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ence research, a study results whose p value is less than 5% </w:t>
      </w:r>
      <w:r>
        <w:rPr>
          <w:rFonts w:ascii="Calibri" w:eastAsia="Calibri" w:hAnsi="Calibri" w:cs="Calibri"/>
          <w:u w:val="single"/>
        </w:rPr>
        <w:t>(</w:t>
      </w:r>
      <w:r>
        <w:rPr>
          <w:rFonts w:ascii="Calibri" w:eastAsia="Calibri" w:hAnsi="Calibri" w:cs="Calibri"/>
          <w:i/>
          <w:iCs/>
          <w:u w:val="single"/>
        </w:rPr>
        <w:t>p</w:t>
      </w:r>
      <w:r>
        <w:rPr>
          <w:rFonts w:ascii="Calibri" w:eastAsia="Calibri" w:hAnsi="Calibri" w:cs="Calibri"/>
          <w:u w:val="single"/>
        </w:rPr>
        <w:t>&lt;0.05) is considered sta s cally significant</w:t>
      </w:r>
    </w:p>
    <w:p w:rsidR="00C42D54" w:rsidRDefault="00C42D54">
      <w:pPr>
        <w:spacing w:line="38" w:lineRule="exact"/>
        <w:rPr>
          <w:sz w:val="20"/>
          <w:szCs w:val="20"/>
        </w:rPr>
      </w:pPr>
    </w:p>
    <w:p w:rsidR="00C42D54" w:rsidRDefault="00B7489C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</w:rPr>
        <w:t>(unlikely to have occurred by chance)</w:t>
      </w:r>
    </w:p>
    <w:p w:rsidR="00C42D54" w:rsidRDefault="00C42D54">
      <w:pPr>
        <w:spacing w:line="27" w:lineRule="exact"/>
        <w:rPr>
          <w:sz w:val="20"/>
          <w:szCs w:val="20"/>
        </w:rPr>
      </w:pPr>
    </w:p>
    <w:p w:rsidR="00C42D54" w:rsidRDefault="00B7489C">
      <w:pPr>
        <w:spacing w:line="266" w:lineRule="auto"/>
        <w:ind w:left="280" w:right="2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Confidence Interval (CI) </w:t>
      </w:r>
      <w:r>
        <w:rPr>
          <w:rFonts w:ascii="Calibri" w:eastAsia="Calibri" w:hAnsi="Calibri" w:cs="Calibri"/>
        </w:rPr>
        <w:t xml:space="preserve">A confidence interval is a </w:t>
      </w:r>
      <w:r>
        <w:rPr>
          <w:rFonts w:ascii="Calibri" w:eastAsia="Calibri" w:hAnsi="Calibri" w:cs="Calibri"/>
        </w:rPr>
        <w:t>range of values that includes a specified probability 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the value of a parameter lies within it. If the underlining sta s cal model is correct and there is no BIAS, a CI derived from a valid analysis will, over unlimited repe ons of the study, contain t</w:t>
      </w:r>
      <w:r>
        <w:rPr>
          <w:rFonts w:ascii="Calibri" w:eastAsia="Calibri" w:hAnsi="Calibri" w:cs="Calibri"/>
        </w:rPr>
        <w:t xml:space="preserve">he </w:t>
      </w:r>
      <w:r>
        <w:rPr>
          <w:rFonts w:ascii="Calibri" w:eastAsia="Calibri" w:hAnsi="Calibri" w:cs="Calibri"/>
          <w:u w:val="single"/>
        </w:rPr>
        <w:t>true parameter</w:t>
      </w:r>
      <w:r>
        <w:rPr>
          <w:rFonts w:ascii="Calibri" w:eastAsia="Calibri" w:hAnsi="Calibri" w:cs="Calibri"/>
        </w:rPr>
        <w:t xml:space="preserve"> with a frequency no less than its confidence level (o en 95% is stated level, but other levels are also used). In other words, we’re 95% confident that the true value of the parameter is in our confidence interval. </w:t>
      </w:r>
      <w:r>
        <w:rPr>
          <w:rFonts w:ascii="Calibri" w:eastAsia="Calibri" w:hAnsi="Calibri" w:cs="Calibri"/>
          <w:b/>
          <w:bCs/>
        </w:rPr>
        <w:t xml:space="preserve">Confidence Limits </w:t>
      </w:r>
      <w:r>
        <w:rPr>
          <w:rFonts w:ascii="Calibri" w:eastAsia="Calibri" w:hAnsi="Calibri" w:cs="Calibri"/>
        </w:rPr>
        <w:t>are u</w:t>
      </w:r>
      <w:r>
        <w:rPr>
          <w:rFonts w:ascii="Calibri" w:eastAsia="Calibri" w:hAnsi="Calibri" w:cs="Calibri"/>
        </w:rPr>
        <w:t>pper and lower boundaries of the CI</w:t>
      </w: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200" w:lineRule="exact"/>
        <w:rPr>
          <w:sz w:val="20"/>
          <w:szCs w:val="20"/>
        </w:rPr>
      </w:pPr>
    </w:p>
    <w:p w:rsidR="00C42D54" w:rsidRDefault="00C42D54">
      <w:pPr>
        <w:spacing w:line="375" w:lineRule="exact"/>
        <w:rPr>
          <w:sz w:val="20"/>
          <w:szCs w:val="20"/>
        </w:rPr>
      </w:pPr>
    </w:p>
    <w:p w:rsidR="00C42D54" w:rsidRDefault="00B7489C">
      <w:pPr>
        <w:ind w:right="-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UB IRB requirements for Clinical Research</w:t>
      </w:r>
    </w:p>
    <w:p w:rsidR="00C42D54" w:rsidRDefault="00C42D54">
      <w:pPr>
        <w:spacing w:line="29" w:lineRule="exact"/>
        <w:rPr>
          <w:sz w:val="20"/>
          <w:szCs w:val="20"/>
        </w:rPr>
      </w:pPr>
    </w:p>
    <w:p w:rsidR="00C42D54" w:rsidRDefault="00B7489C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Every person involved in UB clinical research should complete the required CITI courses!</w:t>
      </w:r>
    </w:p>
    <w:p w:rsidR="00C42D54" w:rsidRDefault="00C42D54">
      <w:pPr>
        <w:spacing w:line="11" w:lineRule="exact"/>
        <w:rPr>
          <w:sz w:val="20"/>
          <w:szCs w:val="20"/>
        </w:rPr>
      </w:pPr>
    </w:p>
    <w:p w:rsidR="00C42D54" w:rsidRDefault="00B7489C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1A1A1A"/>
        </w:rPr>
        <w:t>1. CITI (Collabora ve Ins tu onal Training Ini a ve) training</w:t>
      </w:r>
    </w:p>
    <w:p w:rsidR="00C42D54" w:rsidRDefault="00B7489C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color w:val="1A1A1A"/>
        </w:rPr>
        <w:t xml:space="preserve">The IRB required </w:t>
      </w:r>
      <w:r>
        <w:rPr>
          <w:rFonts w:ascii="Calibri" w:eastAsia="Calibri" w:hAnsi="Calibri" w:cs="Calibri"/>
          <w:color w:val="1A1A1A"/>
        </w:rPr>
        <w:t>CITI courses for Clinical studies are:</w:t>
      </w:r>
    </w:p>
    <w:p w:rsidR="00C42D54" w:rsidRDefault="00B7489C">
      <w:pPr>
        <w:numPr>
          <w:ilvl w:val="0"/>
          <w:numId w:val="6"/>
        </w:numPr>
        <w:tabs>
          <w:tab w:val="left" w:pos="360"/>
        </w:tabs>
        <w:ind w:left="360" w:hanging="125"/>
        <w:rPr>
          <w:rFonts w:ascii="Calibri" w:eastAsia="Calibri" w:hAnsi="Calibri" w:cs="Calibri"/>
          <w:b/>
          <w:bCs/>
          <w:color w:val="1A1A1A"/>
        </w:rPr>
      </w:pPr>
      <w:r>
        <w:rPr>
          <w:rFonts w:ascii="Calibri" w:eastAsia="Calibri" w:hAnsi="Calibri" w:cs="Calibri"/>
          <w:b/>
          <w:bCs/>
          <w:color w:val="1A1A1A"/>
        </w:rPr>
        <w:t>CITI Biomedical Researchers</w:t>
      </w:r>
    </w:p>
    <w:p w:rsidR="00C42D54" w:rsidRDefault="00B7489C">
      <w:pPr>
        <w:numPr>
          <w:ilvl w:val="0"/>
          <w:numId w:val="6"/>
        </w:numPr>
        <w:tabs>
          <w:tab w:val="left" w:pos="358"/>
        </w:tabs>
        <w:ind w:left="240" w:right="280" w:hanging="5"/>
        <w:rPr>
          <w:rFonts w:ascii="Calibri" w:eastAsia="Calibri" w:hAnsi="Calibri" w:cs="Calibri"/>
          <w:b/>
          <w:bCs/>
          <w:color w:val="1A1A1A"/>
        </w:rPr>
      </w:pPr>
      <w:r>
        <w:rPr>
          <w:rFonts w:ascii="Calibri" w:eastAsia="Calibri" w:hAnsi="Calibri" w:cs="Calibri"/>
          <w:b/>
          <w:bCs/>
          <w:color w:val="1A1A1A"/>
        </w:rPr>
        <w:t>Good Clinical Prac ce (GCP)/ unless they have taken the in-house GRP for clinical researchers, which is no longer oﬀered</w:t>
      </w:r>
    </w:p>
    <w:p w:rsidR="00C42D54" w:rsidRDefault="00B7489C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color w:val="01154D"/>
        </w:rPr>
        <w:t>Please login with your UBIT name and UBIT password.</w:t>
      </w:r>
    </w:p>
    <w:p w:rsidR="00C42D54" w:rsidRDefault="00B7489C">
      <w:pPr>
        <w:numPr>
          <w:ilvl w:val="0"/>
          <w:numId w:val="7"/>
        </w:numPr>
        <w:tabs>
          <w:tab w:val="left" w:pos="500"/>
        </w:tabs>
        <w:ind w:left="500" w:hanging="265"/>
        <w:rPr>
          <w:rFonts w:ascii="Calibri" w:eastAsia="Calibri" w:hAnsi="Calibri" w:cs="Calibri"/>
          <w:color w:val="0000FF"/>
          <w:u w:val="single"/>
        </w:rPr>
      </w:pPr>
      <w:r>
        <w:rPr>
          <w:rFonts w:ascii="Calibri" w:eastAsia="Calibri" w:hAnsi="Calibri" w:cs="Calibri"/>
          <w:color w:val="0000FF"/>
          <w:u w:val="single"/>
        </w:rPr>
        <w:t>p://www.research.buﬀalo.edu/compliance/coi/riskmanager.cfm</w:t>
      </w:r>
    </w:p>
    <w:p w:rsidR="00C42D54" w:rsidRDefault="00C42D54">
      <w:pPr>
        <w:spacing w:line="139" w:lineRule="exact"/>
        <w:rPr>
          <w:rFonts w:ascii="Calibri" w:eastAsia="Calibri" w:hAnsi="Calibri" w:cs="Calibri"/>
          <w:color w:val="0000FF"/>
          <w:u w:val="single"/>
        </w:rPr>
      </w:pPr>
    </w:p>
    <w:p w:rsidR="00C42D54" w:rsidRDefault="00B7489C">
      <w:pPr>
        <w:ind w:left="3060"/>
        <w:rPr>
          <w:rFonts w:ascii="Calibri" w:eastAsia="Calibri" w:hAnsi="Calibri" w:cs="Calibri"/>
          <w:color w:val="0000FF"/>
          <w:u w:val="single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</w:rPr>
        <w:t>Research Team Contact Information</w:t>
      </w:r>
    </w:p>
    <w:p w:rsidR="00C42D54" w:rsidRDefault="00C42D54">
      <w:pPr>
        <w:spacing w:line="353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Directors</w:t>
      </w:r>
    </w:p>
    <w:p w:rsidR="00C42D54" w:rsidRDefault="00C42D54">
      <w:pPr>
        <w:spacing w:line="39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John Leddy, MD, (leddy@buffalo.edu)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Mark Ehrensberger, PhD  (mte@buffalo.edu)</w:t>
      </w:r>
    </w:p>
    <w:p w:rsidR="00C42D54" w:rsidRDefault="00C42D54">
      <w:pPr>
        <w:spacing w:line="8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Director of Clinical Research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Director of the Kenneth A. Krackow Orthop</w:t>
      </w:r>
      <w:r>
        <w:rPr>
          <w:rFonts w:ascii="Arial" w:eastAsia="Arial" w:hAnsi="Arial" w:cs="Arial"/>
          <w:sz w:val="17"/>
          <w:szCs w:val="17"/>
        </w:rPr>
        <w:t>aedic Research Laboratory</w:t>
      </w:r>
    </w:p>
    <w:p w:rsidR="00C42D54" w:rsidRDefault="00C42D54">
      <w:pPr>
        <w:spacing w:line="241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Buffalo General Hospital/ECMC</w:t>
      </w:r>
    </w:p>
    <w:p w:rsidR="00C42D54" w:rsidRDefault="00C42D54">
      <w:pPr>
        <w:spacing w:line="40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  <w:tab w:val="left" w:pos="700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Sonja Pavlesen, MD, MS (pavlesen@buffalo.edu)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Mary Bayers-Thering, MS, MBA</w:t>
      </w:r>
      <w:r>
        <w:rPr>
          <w:rFonts w:ascii="Arial" w:eastAsia="Arial" w:hAnsi="Arial" w:cs="Arial"/>
          <w:sz w:val="18"/>
          <w:szCs w:val="18"/>
        </w:rPr>
        <w:tab/>
        <w:t>(MBayers-Thering@KaleidaHealth.Org)</w:t>
      </w:r>
    </w:p>
    <w:p w:rsidR="00C42D54" w:rsidRDefault="00C42D54">
      <w:pPr>
        <w:spacing w:line="8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Research Assistant Professor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 xml:space="preserve">Research Coordinator, Coordinator for  Surgical Skills </w:t>
      </w:r>
      <w:r>
        <w:rPr>
          <w:rFonts w:ascii="Arial" w:eastAsia="Arial" w:hAnsi="Arial" w:cs="Arial"/>
          <w:sz w:val="18"/>
          <w:szCs w:val="18"/>
        </w:rPr>
        <w:t>Training</w:t>
      </w:r>
    </w:p>
    <w:p w:rsidR="00C42D54" w:rsidRDefault="00C42D54">
      <w:pPr>
        <w:spacing w:line="238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Laura Ryan, MPH (laurabec@buffalo.edu)</w:t>
      </w:r>
    </w:p>
    <w:p w:rsidR="00C42D54" w:rsidRDefault="00C42D54">
      <w:pPr>
        <w:spacing w:line="32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Research Assistant</w:t>
      </w:r>
    </w:p>
    <w:p w:rsidR="00C42D54" w:rsidRDefault="00C42D54">
      <w:pPr>
        <w:spacing w:line="241" w:lineRule="exact"/>
        <w:rPr>
          <w:sz w:val="20"/>
          <w:szCs w:val="20"/>
        </w:rPr>
      </w:pPr>
    </w:p>
    <w:p w:rsidR="00C42D54" w:rsidRDefault="00B7489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Sports Medicine/Harlem Rd. office</w:t>
      </w:r>
    </w:p>
    <w:p w:rsidR="00C42D54" w:rsidRDefault="00C42D54">
      <w:pPr>
        <w:spacing w:line="40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Melissa Kluczynski, MS (mk67@buffalo.edu)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Kathleen Lafferty (klaffert@buffalo.edu)</w:t>
      </w:r>
    </w:p>
    <w:p w:rsidR="00C42D54" w:rsidRDefault="00C42D54">
      <w:pPr>
        <w:spacing w:line="8" w:lineRule="exact"/>
        <w:rPr>
          <w:sz w:val="20"/>
          <w:szCs w:val="20"/>
        </w:rPr>
      </w:pPr>
    </w:p>
    <w:p w:rsidR="00C42D54" w:rsidRDefault="00B7489C">
      <w:pPr>
        <w:tabs>
          <w:tab w:val="left" w:pos="43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Clinical Research Associate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Research Assistant, Administrative Assi</w:t>
      </w:r>
      <w:r>
        <w:rPr>
          <w:rFonts w:ascii="Arial" w:eastAsia="Arial" w:hAnsi="Arial" w:cs="Arial"/>
          <w:sz w:val="17"/>
          <w:szCs w:val="17"/>
        </w:rPr>
        <w:t>stant</w:t>
      </w:r>
    </w:p>
    <w:p w:rsidR="00C42D54" w:rsidRDefault="00B74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4871085</wp:posOffset>
            </wp:positionH>
            <wp:positionV relativeFrom="paragraph">
              <wp:posOffset>50165</wp:posOffset>
            </wp:positionV>
            <wp:extent cx="1828800" cy="228600"/>
            <wp:effectExtent l="0" t="0" r="0" b="0"/>
            <wp:wrapNone/>
            <wp:docPr id="16" name="Picture 16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54" w:rsidRDefault="00C42D54">
      <w:pPr>
        <w:sectPr w:rsidR="00C42D54">
          <w:pgSz w:w="12240" w:h="15840"/>
          <w:pgMar w:top="1217" w:right="1080" w:bottom="245" w:left="900" w:header="0" w:footer="0" w:gutter="0"/>
          <w:cols w:space="720" w:equalWidth="0">
            <w:col w:w="10260"/>
          </w:cols>
        </w:sectPr>
      </w:pPr>
    </w:p>
    <w:p w:rsidR="00C42D54" w:rsidRDefault="00C42D54">
      <w:pPr>
        <w:spacing w:line="140" w:lineRule="exact"/>
        <w:rPr>
          <w:sz w:val="20"/>
          <w:szCs w:val="20"/>
        </w:rPr>
      </w:pPr>
    </w:p>
    <w:p w:rsidR="00C42D54" w:rsidRDefault="00B7489C">
      <w:pPr>
        <w:ind w:left="10140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z w:val="23"/>
          <w:szCs w:val="23"/>
        </w:rPr>
        <w:t>5</w:t>
      </w:r>
    </w:p>
    <w:sectPr w:rsidR="00C42D54">
      <w:type w:val="continuous"/>
      <w:pgSz w:w="12240" w:h="15840"/>
      <w:pgMar w:top="1217" w:right="1080" w:bottom="245" w:left="900" w:header="0" w:footer="0" w:gutter="0"/>
      <w:cols w:space="720" w:equalWidth="0">
        <w:col w:w="10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1F29"/>
    <w:multiLevelType w:val="hybridMultilevel"/>
    <w:tmpl w:val="0E02C32C"/>
    <w:lvl w:ilvl="0" w:tplc="049073C2">
      <w:start w:val="1"/>
      <w:numFmt w:val="bullet"/>
      <w:lvlText w:val="h"/>
      <w:lvlJc w:val="left"/>
    </w:lvl>
    <w:lvl w:ilvl="1" w:tplc="71509BB2">
      <w:numFmt w:val="decimal"/>
      <w:lvlText w:val=""/>
      <w:lvlJc w:val="left"/>
    </w:lvl>
    <w:lvl w:ilvl="2" w:tplc="A0661AE4">
      <w:numFmt w:val="decimal"/>
      <w:lvlText w:val=""/>
      <w:lvlJc w:val="left"/>
    </w:lvl>
    <w:lvl w:ilvl="3" w:tplc="16CC0176">
      <w:numFmt w:val="decimal"/>
      <w:lvlText w:val=""/>
      <w:lvlJc w:val="left"/>
    </w:lvl>
    <w:lvl w:ilvl="4" w:tplc="500EB360">
      <w:numFmt w:val="decimal"/>
      <w:lvlText w:val=""/>
      <w:lvlJc w:val="left"/>
    </w:lvl>
    <w:lvl w:ilvl="5" w:tplc="F63AD64E">
      <w:numFmt w:val="decimal"/>
      <w:lvlText w:val=""/>
      <w:lvlJc w:val="left"/>
    </w:lvl>
    <w:lvl w:ilvl="6" w:tplc="2E4C7B90">
      <w:numFmt w:val="decimal"/>
      <w:lvlText w:val=""/>
      <w:lvlJc w:val="left"/>
    </w:lvl>
    <w:lvl w:ilvl="7" w:tplc="B0228134">
      <w:numFmt w:val="decimal"/>
      <w:lvlText w:val=""/>
      <w:lvlJc w:val="left"/>
    </w:lvl>
    <w:lvl w:ilvl="8" w:tplc="46B6187E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5816AD7E"/>
    <w:lvl w:ilvl="0" w:tplc="37D07EB6">
      <w:start w:val="1"/>
      <w:numFmt w:val="bullet"/>
      <w:lvlText w:val="-"/>
      <w:lvlJc w:val="left"/>
    </w:lvl>
    <w:lvl w:ilvl="1" w:tplc="9D1498FC">
      <w:numFmt w:val="decimal"/>
      <w:lvlText w:val=""/>
      <w:lvlJc w:val="left"/>
    </w:lvl>
    <w:lvl w:ilvl="2" w:tplc="9B0A3850">
      <w:numFmt w:val="decimal"/>
      <w:lvlText w:val=""/>
      <w:lvlJc w:val="left"/>
    </w:lvl>
    <w:lvl w:ilvl="3" w:tplc="BD144F0E">
      <w:numFmt w:val="decimal"/>
      <w:lvlText w:val=""/>
      <w:lvlJc w:val="left"/>
    </w:lvl>
    <w:lvl w:ilvl="4" w:tplc="1AA48CB6">
      <w:numFmt w:val="decimal"/>
      <w:lvlText w:val=""/>
      <w:lvlJc w:val="left"/>
    </w:lvl>
    <w:lvl w:ilvl="5" w:tplc="959021D6">
      <w:numFmt w:val="decimal"/>
      <w:lvlText w:val=""/>
      <w:lvlJc w:val="left"/>
    </w:lvl>
    <w:lvl w:ilvl="6" w:tplc="916EA0C6">
      <w:numFmt w:val="decimal"/>
      <w:lvlText w:val=""/>
      <w:lvlJc w:val="left"/>
    </w:lvl>
    <w:lvl w:ilvl="7" w:tplc="54B285F6">
      <w:numFmt w:val="decimal"/>
      <w:lvlText w:val=""/>
      <w:lvlJc w:val="left"/>
    </w:lvl>
    <w:lvl w:ilvl="8" w:tplc="A0462950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C4AA618A"/>
    <w:lvl w:ilvl="0" w:tplc="65CA519C">
      <w:start w:val="1"/>
      <w:numFmt w:val="bullet"/>
      <w:lvlText w:val="h"/>
      <w:lvlJc w:val="left"/>
    </w:lvl>
    <w:lvl w:ilvl="1" w:tplc="6706BD02">
      <w:numFmt w:val="decimal"/>
      <w:lvlText w:val=""/>
      <w:lvlJc w:val="left"/>
    </w:lvl>
    <w:lvl w:ilvl="2" w:tplc="8A8C9146">
      <w:numFmt w:val="decimal"/>
      <w:lvlText w:val=""/>
      <w:lvlJc w:val="left"/>
    </w:lvl>
    <w:lvl w:ilvl="3" w:tplc="A32EB772">
      <w:numFmt w:val="decimal"/>
      <w:lvlText w:val=""/>
      <w:lvlJc w:val="left"/>
    </w:lvl>
    <w:lvl w:ilvl="4" w:tplc="254C31A6">
      <w:numFmt w:val="decimal"/>
      <w:lvlText w:val=""/>
      <w:lvlJc w:val="left"/>
    </w:lvl>
    <w:lvl w:ilvl="5" w:tplc="36C6B01C">
      <w:numFmt w:val="decimal"/>
      <w:lvlText w:val=""/>
      <w:lvlJc w:val="left"/>
    </w:lvl>
    <w:lvl w:ilvl="6" w:tplc="BCC8F3B4">
      <w:numFmt w:val="decimal"/>
      <w:lvlText w:val=""/>
      <w:lvlJc w:val="left"/>
    </w:lvl>
    <w:lvl w:ilvl="7" w:tplc="F042BC64">
      <w:numFmt w:val="decimal"/>
      <w:lvlText w:val=""/>
      <w:lvlJc w:val="left"/>
    </w:lvl>
    <w:lvl w:ilvl="8" w:tplc="CF3A8FB4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436E3F9A"/>
    <w:lvl w:ilvl="0" w:tplc="75D6198E">
      <w:start w:val="1"/>
      <w:numFmt w:val="bullet"/>
      <w:lvlText w:val="h"/>
      <w:lvlJc w:val="left"/>
    </w:lvl>
    <w:lvl w:ilvl="1" w:tplc="BEB49E36">
      <w:numFmt w:val="decimal"/>
      <w:lvlText w:val=""/>
      <w:lvlJc w:val="left"/>
    </w:lvl>
    <w:lvl w:ilvl="2" w:tplc="E3A0F74E">
      <w:numFmt w:val="decimal"/>
      <w:lvlText w:val=""/>
      <w:lvlJc w:val="left"/>
    </w:lvl>
    <w:lvl w:ilvl="3" w:tplc="0B8C44FE">
      <w:numFmt w:val="decimal"/>
      <w:lvlText w:val=""/>
      <w:lvlJc w:val="left"/>
    </w:lvl>
    <w:lvl w:ilvl="4" w:tplc="2DE632B8">
      <w:numFmt w:val="decimal"/>
      <w:lvlText w:val=""/>
      <w:lvlJc w:val="left"/>
    </w:lvl>
    <w:lvl w:ilvl="5" w:tplc="30E41294">
      <w:numFmt w:val="decimal"/>
      <w:lvlText w:val=""/>
      <w:lvlJc w:val="left"/>
    </w:lvl>
    <w:lvl w:ilvl="6" w:tplc="1B726AFA">
      <w:numFmt w:val="decimal"/>
      <w:lvlText w:val=""/>
      <w:lvlJc w:val="left"/>
    </w:lvl>
    <w:lvl w:ilvl="7" w:tplc="796C8D0E">
      <w:numFmt w:val="decimal"/>
      <w:lvlText w:val=""/>
      <w:lvlJc w:val="left"/>
    </w:lvl>
    <w:lvl w:ilvl="8" w:tplc="C2249390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DFA67484"/>
    <w:lvl w:ilvl="0" w:tplc="8DBC0588">
      <w:start w:val="1"/>
      <w:numFmt w:val="bullet"/>
      <w:lvlText w:val="h"/>
      <w:lvlJc w:val="left"/>
    </w:lvl>
    <w:lvl w:ilvl="1" w:tplc="6ECAA732">
      <w:numFmt w:val="decimal"/>
      <w:lvlText w:val=""/>
      <w:lvlJc w:val="left"/>
    </w:lvl>
    <w:lvl w:ilvl="2" w:tplc="954CFF52">
      <w:numFmt w:val="decimal"/>
      <w:lvlText w:val=""/>
      <w:lvlJc w:val="left"/>
    </w:lvl>
    <w:lvl w:ilvl="3" w:tplc="92F415DE">
      <w:numFmt w:val="decimal"/>
      <w:lvlText w:val=""/>
      <w:lvlJc w:val="left"/>
    </w:lvl>
    <w:lvl w:ilvl="4" w:tplc="429CE79E">
      <w:numFmt w:val="decimal"/>
      <w:lvlText w:val=""/>
      <w:lvlJc w:val="left"/>
    </w:lvl>
    <w:lvl w:ilvl="5" w:tplc="294A8AB4">
      <w:numFmt w:val="decimal"/>
      <w:lvlText w:val=""/>
      <w:lvlJc w:val="left"/>
    </w:lvl>
    <w:lvl w:ilvl="6" w:tplc="AD94BA8E">
      <w:numFmt w:val="decimal"/>
      <w:lvlText w:val=""/>
      <w:lvlJc w:val="left"/>
    </w:lvl>
    <w:lvl w:ilvl="7" w:tplc="8AB4B3E8">
      <w:numFmt w:val="decimal"/>
      <w:lvlText w:val=""/>
      <w:lvlJc w:val="left"/>
    </w:lvl>
    <w:lvl w:ilvl="8" w:tplc="3B0CBA8A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5A2255CE"/>
    <w:lvl w:ilvl="0" w:tplc="3B4C4FF4">
      <w:start w:val="1"/>
      <w:numFmt w:val="bullet"/>
      <w:lvlText w:val="h"/>
      <w:lvlJc w:val="left"/>
    </w:lvl>
    <w:lvl w:ilvl="1" w:tplc="CFF21C0C">
      <w:numFmt w:val="decimal"/>
      <w:lvlText w:val=""/>
      <w:lvlJc w:val="left"/>
    </w:lvl>
    <w:lvl w:ilvl="2" w:tplc="66AC744A">
      <w:numFmt w:val="decimal"/>
      <w:lvlText w:val=""/>
      <w:lvlJc w:val="left"/>
    </w:lvl>
    <w:lvl w:ilvl="3" w:tplc="A69416CA">
      <w:numFmt w:val="decimal"/>
      <w:lvlText w:val=""/>
      <w:lvlJc w:val="left"/>
    </w:lvl>
    <w:lvl w:ilvl="4" w:tplc="B4245FE6">
      <w:numFmt w:val="decimal"/>
      <w:lvlText w:val=""/>
      <w:lvlJc w:val="left"/>
    </w:lvl>
    <w:lvl w:ilvl="5" w:tplc="89F86AC0">
      <w:numFmt w:val="decimal"/>
      <w:lvlText w:val=""/>
      <w:lvlJc w:val="left"/>
    </w:lvl>
    <w:lvl w:ilvl="6" w:tplc="B5109358">
      <w:numFmt w:val="decimal"/>
      <w:lvlText w:val=""/>
      <w:lvlJc w:val="left"/>
    </w:lvl>
    <w:lvl w:ilvl="7" w:tplc="08DEA682">
      <w:numFmt w:val="decimal"/>
      <w:lvlText w:val=""/>
      <w:lvlJc w:val="left"/>
    </w:lvl>
    <w:lvl w:ilvl="8" w:tplc="5172E540">
      <w:numFmt w:val="decimal"/>
      <w:lvlText w:val=""/>
      <w:lvlJc w:val="left"/>
    </w:lvl>
  </w:abstractNum>
  <w:abstractNum w:abstractNumId="6" w15:restartNumberingAfterBreak="0">
    <w:nsid w:val="625558EC"/>
    <w:multiLevelType w:val="hybridMultilevel"/>
    <w:tmpl w:val="22EC0234"/>
    <w:lvl w:ilvl="0" w:tplc="F2263E9E">
      <w:start w:val="1"/>
      <w:numFmt w:val="bullet"/>
      <w:lvlText w:val="h"/>
      <w:lvlJc w:val="left"/>
    </w:lvl>
    <w:lvl w:ilvl="1" w:tplc="B764080C">
      <w:numFmt w:val="decimal"/>
      <w:lvlText w:val=""/>
      <w:lvlJc w:val="left"/>
    </w:lvl>
    <w:lvl w:ilvl="2" w:tplc="F60AA614">
      <w:numFmt w:val="decimal"/>
      <w:lvlText w:val=""/>
      <w:lvlJc w:val="left"/>
    </w:lvl>
    <w:lvl w:ilvl="3" w:tplc="C8141E74">
      <w:numFmt w:val="decimal"/>
      <w:lvlText w:val=""/>
      <w:lvlJc w:val="left"/>
    </w:lvl>
    <w:lvl w:ilvl="4" w:tplc="CC7AF750">
      <w:numFmt w:val="decimal"/>
      <w:lvlText w:val=""/>
      <w:lvlJc w:val="left"/>
    </w:lvl>
    <w:lvl w:ilvl="5" w:tplc="46DA94FC">
      <w:numFmt w:val="decimal"/>
      <w:lvlText w:val=""/>
      <w:lvlJc w:val="left"/>
    </w:lvl>
    <w:lvl w:ilvl="6" w:tplc="0DF02D84">
      <w:numFmt w:val="decimal"/>
      <w:lvlText w:val=""/>
      <w:lvlJc w:val="left"/>
    </w:lvl>
    <w:lvl w:ilvl="7" w:tplc="83AC0394">
      <w:numFmt w:val="decimal"/>
      <w:lvlText w:val=""/>
      <w:lvlJc w:val="left"/>
    </w:lvl>
    <w:lvl w:ilvl="8" w:tplc="929628C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54"/>
    <w:rsid w:val="00B7489C"/>
    <w:rsid w:val="00C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F80065-0FED-46EB-8C3B-A2F3FE7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Crowe, Steven</cp:lastModifiedBy>
  <cp:revision>2</cp:revision>
  <dcterms:created xsi:type="dcterms:W3CDTF">2018-11-30T09:36:00Z</dcterms:created>
  <dcterms:modified xsi:type="dcterms:W3CDTF">2018-11-30T15:15:00Z</dcterms:modified>
</cp:coreProperties>
</file>